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江苏省地方标准</w:t>
      </w:r>
      <w:r>
        <w:rPr>
          <w:rFonts w:ascii="方正小标宋_GBK" w:hAnsi="方正小标宋_GBK" w:eastAsia="方正小标宋_GBK" w:cs="方正小标宋_GBK"/>
          <w:sz w:val="36"/>
          <w:szCs w:val="36"/>
        </w:rPr>
        <w:t>《</w:t>
      </w:r>
      <w:bookmarkStart w:id="0" w:name="_Hlk177762830"/>
      <w:r>
        <w:rPr>
          <w:rFonts w:hint="eastAsia" w:ascii="方正小标宋_GBK" w:hAnsi="方正小标宋_GBK" w:eastAsia="方正小标宋_GBK" w:cs="方正小标宋_GBK"/>
          <w:sz w:val="36"/>
          <w:szCs w:val="36"/>
        </w:rPr>
        <w:t>绿杨春茶实物</w:t>
      </w:r>
      <w:r>
        <w:rPr>
          <w:rFonts w:hint="eastAsia" w:ascii="方正小标宋_GBK" w:hAnsi="方正小标宋_GBK" w:eastAsia="方正小标宋_GBK" w:cs="方正小标宋_GBK"/>
          <w:sz w:val="36"/>
          <w:szCs w:val="36"/>
          <w:lang w:eastAsia="zh-Hans"/>
        </w:rPr>
        <w:t>标准</w:t>
      </w:r>
      <w:r>
        <w:rPr>
          <w:rFonts w:hint="eastAsia" w:ascii="方正小标宋_GBK" w:hAnsi="方正小标宋_GBK" w:eastAsia="方正小标宋_GBK" w:cs="方正小标宋_GBK"/>
          <w:sz w:val="36"/>
          <w:szCs w:val="36"/>
        </w:rPr>
        <w:t>样</w:t>
      </w:r>
      <w:bookmarkEnd w:id="0"/>
      <w:r>
        <w:rPr>
          <w:rFonts w:hint="eastAsia" w:ascii="方正小标宋_GBK" w:hAnsi="方正小标宋_GBK" w:eastAsia="方正小标宋_GBK" w:cs="方正小标宋_GBK"/>
          <w:sz w:val="36"/>
          <w:szCs w:val="36"/>
        </w:rPr>
        <w:t>制作规范</w:t>
      </w:r>
      <w:r>
        <w:rPr>
          <w:rFonts w:ascii="方正小标宋_GBK" w:hAnsi="方正小标宋_GBK" w:eastAsia="方正小标宋_GBK" w:cs="方正小标宋_GBK"/>
          <w:sz w:val="36"/>
          <w:szCs w:val="36"/>
        </w:rPr>
        <w:t>》</w:t>
      </w:r>
      <w:r>
        <w:rPr>
          <w:rFonts w:hint="eastAsia" w:ascii="方正小标宋_GBK" w:hAnsi="方正小标宋_GBK" w:eastAsia="方正小标宋_GBK" w:cs="方正小标宋_GBK"/>
          <w:sz w:val="36"/>
          <w:szCs w:val="36"/>
        </w:rPr>
        <w:t xml:space="preserve"> </w:t>
      </w:r>
      <w:r>
        <w:rPr>
          <w:rFonts w:ascii="方正小标宋_GBK" w:hAnsi="方正小标宋_GBK" w:eastAsia="方正小标宋_GBK" w:cs="方正小标宋_GBK"/>
          <w:sz w:val="36"/>
          <w:szCs w:val="36"/>
        </w:rPr>
        <w:t xml:space="preserve">       编制说明</w:t>
      </w:r>
    </w:p>
    <w:p>
      <w:pPr>
        <w:jc w:val="center"/>
        <w:rPr>
          <w:rFonts w:hint="eastAsia" w:ascii="方正小标宋_GBK" w:hAnsi="方正小标宋_GBK" w:eastAsia="方正小标宋_GBK" w:cs="方正小标宋_GBK"/>
          <w:sz w:val="36"/>
          <w:szCs w:val="36"/>
        </w:rPr>
      </w:pPr>
    </w:p>
    <w:p>
      <w:pPr>
        <w:spacing w:line="360" w:lineRule="auto"/>
        <w:ind w:firstLine="600" w:firstLineChars="200"/>
        <w:rPr>
          <w:rFonts w:hint="eastAsia" w:ascii="黑体" w:hAnsi="黑体" w:eastAsia="黑体" w:cs="黑体"/>
          <w:sz w:val="30"/>
          <w:szCs w:val="30"/>
        </w:rPr>
      </w:pPr>
      <w:r>
        <w:rPr>
          <w:rFonts w:hint="eastAsia" w:ascii="黑体" w:hAnsi="黑体" w:eastAsia="黑体" w:cs="黑体"/>
          <w:sz w:val="30"/>
          <w:szCs w:val="30"/>
          <w:lang w:eastAsia="zh-Hans"/>
        </w:rPr>
        <w:t>一、</w:t>
      </w:r>
      <w:r>
        <w:rPr>
          <w:rFonts w:hint="eastAsia" w:ascii="黑体" w:hAnsi="黑体" w:eastAsia="黑体" w:cs="黑体"/>
          <w:sz w:val="30"/>
          <w:szCs w:val="30"/>
        </w:rPr>
        <w:t>目的意义</w:t>
      </w:r>
    </w:p>
    <w:p>
      <w:pPr>
        <w:tabs>
          <w:tab w:val="left" w:pos="312"/>
        </w:tabs>
        <w:spacing w:line="360" w:lineRule="auto"/>
        <w:ind w:firstLine="560" w:firstLineChars="200"/>
        <w:rPr>
          <w:rFonts w:hint="eastAsia" w:ascii="Times New Roman Regular" w:hAnsi="Times New Roman Regular" w:eastAsia="宋体" w:cs="Times New Roman Regular"/>
          <w:color w:val="000000" w:themeColor="text1"/>
          <w:sz w:val="28"/>
          <w:szCs w:val="28"/>
          <w14:textFill>
            <w14:solidFill>
              <w14:schemeClr w14:val="tx1"/>
            </w14:solidFill>
          </w14:textFill>
        </w:rPr>
      </w:pPr>
      <w:r>
        <w:rPr>
          <w:rFonts w:ascii="Times New Roman Regular" w:hAnsi="Times New Roman Regular" w:eastAsia="宋体" w:cs="Times New Roman Regular"/>
          <w:color w:val="000000" w:themeColor="text1"/>
          <w:sz w:val="28"/>
          <w:szCs w:val="28"/>
          <w14:textFill>
            <w14:solidFill>
              <w14:schemeClr w14:val="tx1"/>
            </w14:solidFill>
          </w14:textFill>
        </w:rPr>
        <w:t>1、产业发展现状</w:t>
      </w:r>
    </w:p>
    <w:p>
      <w:pPr>
        <w:spacing w:line="360" w:lineRule="auto"/>
        <w:ind w:firstLine="560" w:firstLineChars="200"/>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绿杨春茶是扬州市的特色产业，全市绿杨春茶占地规模3.5万余亩，从业人员3</w:t>
      </w:r>
      <w:r>
        <w:rPr>
          <w:rFonts w:hint="eastAsia" w:ascii="Times New Roman Regular" w:hAnsi="Times New Roman Regular" w:eastAsia="宋体" w:cs="Times New Roman Regular"/>
          <w:sz w:val="28"/>
          <w:szCs w:val="28"/>
        </w:rPr>
        <w:t>万</w:t>
      </w:r>
      <w:r>
        <w:rPr>
          <w:rFonts w:ascii="Times New Roman Regular" w:hAnsi="Times New Roman Regular" w:eastAsia="宋体" w:cs="Times New Roman Regular"/>
          <w:sz w:val="28"/>
          <w:szCs w:val="28"/>
        </w:rPr>
        <w:t>余人，包括企业、家庭农场、合作社和种植大户。绿杨春独特的制茶工艺，收入扬州市非物质文化遗产，在全国、江苏省名特茶评比中先后获得多个奖项，2001年</w:t>
      </w:r>
      <w:r>
        <w:rPr>
          <w:rFonts w:hint="eastAsia" w:ascii="宋体" w:hAnsi="宋体" w:eastAsia="宋体" w:cs="宋体"/>
          <w:sz w:val="28"/>
          <w:szCs w:val="28"/>
        </w:rPr>
        <w:t>“绿杨春”</w:t>
      </w:r>
      <w:r>
        <w:rPr>
          <w:rFonts w:ascii="Times New Roman Regular" w:hAnsi="Times New Roman Regular" w:eastAsia="宋体" w:cs="Times New Roman Regular"/>
          <w:sz w:val="28"/>
          <w:szCs w:val="28"/>
        </w:rPr>
        <w:t>获得</w:t>
      </w:r>
      <w:r>
        <w:rPr>
          <w:rFonts w:hint="eastAsia" w:ascii="宋体" w:hAnsi="宋体" w:eastAsia="宋体" w:cs="宋体"/>
          <w:sz w:val="28"/>
          <w:szCs w:val="28"/>
        </w:rPr>
        <w:t>“中茶杯”</w:t>
      </w:r>
      <w:r>
        <w:rPr>
          <w:rFonts w:ascii="Times New Roman Regular" w:hAnsi="Times New Roman Regular" w:eastAsia="宋体" w:cs="Times New Roman Regular"/>
          <w:sz w:val="28"/>
          <w:szCs w:val="28"/>
        </w:rPr>
        <w:t>特等奖第一名，2011年</w:t>
      </w:r>
      <w:r>
        <w:rPr>
          <w:rFonts w:hint="eastAsia" w:ascii="宋体" w:hAnsi="宋体" w:eastAsia="宋体" w:cs="宋体"/>
          <w:sz w:val="28"/>
          <w:szCs w:val="28"/>
        </w:rPr>
        <w:t>“仪征绿杨春茶”</w:t>
      </w:r>
      <w:r>
        <w:rPr>
          <w:rFonts w:ascii="Times New Roman Regular" w:hAnsi="Times New Roman Regular" w:eastAsia="宋体" w:cs="Times New Roman Regular"/>
          <w:sz w:val="28"/>
          <w:szCs w:val="28"/>
        </w:rPr>
        <w:t>获得农业部</w:t>
      </w:r>
      <w:r>
        <w:rPr>
          <w:rFonts w:hint="eastAsia" w:ascii="宋体" w:hAnsi="宋体" w:eastAsia="宋体" w:cs="宋体"/>
          <w:sz w:val="28"/>
          <w:szCs w:val="28"/>
        </w:rPr>
        <w:t>“国家农产品地理标志”</w:t>
      </w:r>
      <w:r>
        <w:rPr>
          <w:rFonts w:ascii="Times New Roman Regular" w:hAnsi="Times New Roman Regular" w:eastAsia="宋体" w:cs="Times New Roman Regular"/>
          <w:sz w:val="28"/>
          <w:szCs w:val="28"/>
        </w:rPr>
        <w:t>，被评为</w:t>
      </w:r>
      <w:r>
        <w:rPr>
          <w:rFonts w:hint="eastAsia" w:ascii="宋体" w:hAnsi="宋体" w:eastAsia="宋体" w:cs="宋体"/>
          <w:sz w:val="28"/>
          <w:szCs w:val="28"/>
        </w:rPr>
        <w:t>“</w:t>
      </w:r>
      <w:r>
        <w:rPr>
          <w:rFonts w:ascii="Times New Roman Regular" w:hAnsi="Times New Roman Regular" w:eastAsia="宋体" w:cs="Times New Roman Regular"/>
          <w:sz w:val="28"/>
          <w:szCs w:val="28"/>
        </w:rPr>
        <w:t>2011</w:t>
      </w:r>
      <w:r>
        <w:rPr>
          <w:rFonts w:hint="eastAsia" w:ascii="宋体" w:hAnsi="宋体" w:eastAsia="宋体" w:cs="宋体"/>
          <w:sz w:val="28"/>
          <w:szCs w:val="28"/>
        </w:rPr>
        <w:t xml:space="preserve"> 消费者最喜爱的中国农产品区域公用品牌”</w:t>
      </w:r>
      <w:r>
        <w:rPr>
          <w:rFonts w:ascii="Times New Roman Regular" w:hAnsi="Times New Roman Regular" w:eastAsia="宋体" w:cs="Times New Roman Regular"/>
          <w:sz w:val="28"/>
          <w:szCs w:val="28"/>
        </w:rPr>
        <w:t>，品牌价值达 4.87 亿元，并被收入中国优质农产品名录，2012年仪征市先后获得</w:t>
      </w:r>
      <w:r>
        <w:rPr>
          <w:rFonts w:hint="eastAsia" w:ascii="宋体" w:hAnsi="宋体" w:eastAsia="宋体" w:cs="宋体"/>
          <w:sz w:val="28"/>
          <w:szCs w:val="28"/>
        </w:rPr>
        <w:t>“全国重点产茶县、中国名茶之乡”</w:t>
      </w:r>
      <w:r>
        <w:rPr>
          <w:rFonts w:ascii="Times New Roman Regular" w:hAnsi="Times New Roman Regular" w:eastAsia="宋体" w:cs="Times New Roman Regular"/>
          <w:sz w:val="28"/>
          <w:szCs w:val="28"/>
        </w:rPr>
        <w:t>称号，2019年获得江苏省十佳名茶特等奖。</w:t>
      </w:r>
    </w:p>
    <w:p>
      <w:pPr>
        <w:pStyle w:val="10"/>
        <w:spacing w:after="0" w:line="360" w:lineRule="auto"/>
        <w:ind w:firstLine="560" w:firstLineChars="200"/>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目前绿杨春茶已获得绿色认证、有机认证等，产品涵盖绿茶</w:t>
      </w:r>
      <w:r>
        <w:rPr>
          <w:rFonts w:hint="eastAsia" w:ascii="Times New Roman Regular" w:hAnsi="Times New Roman Regular" w:eastAsia="宋体" w:cs="Times New Roman Regular"/>
          <w:sz w:val="28"/>
          <w:szCs w:val="28"/>
        </w:rPr>
        <w:t>、</w:t>
      </w:r>
      <w:r>
        <w:rPr>
          <w:rFonts w:ascii="Times New Roman Regular" w:hAnsi="Times New Roman Regular" w:eastAsia="宋体" w:cs="Times New Roman Regular"/>
          <w:sz w:val="28"/>
          <w:szCs w:val="28"/>
        </w:rPr>
        <w:t>红茶</w:t>
      </w:r>
      <w:r>
        <w:rPr>
          <w:rFonts w:hint="eastAsia" w:ascii="Times New Roman Regular" w:hAnsi="Times New Roman Regular" w:eastAsia="宋体" w:cs="Times New Roman Regular"/>
          <w:sz w:val="28"/>
          <w:szCs w:val="28"/>
        </w:rPr>
        <w:t>、</w:t>
      </w:r>
      <w:r>
        <w:rPr>
          <w:rFonts w:ascii="Times New Roman Regular" w:hAnsi="Times New Roman Regular" w:eastAsia="宋体" w:cs="Times New Roman Regular"/>
          <w:sz w:val="28"/>
          <w:szCs w:val="28"/>
        </w:rPr>
        <w:t>白茶等多种类型，形成了集绿杨春茶研发、</w:t>
      </w:r>
      <w:r>
        <w:rPr>
          <w:rFonts w:hint="eastAsia" w:ascii="Times New Roman Regular" w:hAnsi="Times New Roman Regular" w:eastAsia="宋体" w:cs="Times New Roman Regular"/>
          <w:sz w:val="28"/>
          <w:szCs w:val="28"/>
        </w:rPr>
        <w:t>精</w:t>
      </w:r>
      <w:r>
        <w:rPr>
          <w:rFonts w:ascii="Times New Roman Regular" w:hAnsi="Times New Roman Regular" w:eastAsia="宋体" w:cs="Times New Roman Regular"/>
          <w:sz w:val="28"/>
          <w:szCs w:val="28"/>
        </w:rPr>
        <w:t>深加工和销售于一体的全产业链条，经过多年发展，已具备一定的影响力和美誉度。</w:t>
      </w:r>
      <w:r>
        <w:rPr>
          <w:rFonts w:ascii="Times New Roman Regular" w:hAnsi="Times New Roman Regular" w:eastAsia="宋体" w:cs="Times New Roman Regular"/>
          <w:color w:val="000000" w:themeColor="text1"/>
          <w:sz w:val="28"/>
          <w:szCs w:val="28"/>
          <w14:textFill>
            <w14:solidFill>
              <w14:schemeClr w14:val="tx1"/>
            </w14:solidFill>
          </w14:textFill>
        </w:rPr>
        <w:t>随着种植规模</w:t>
      </w:r>
      <w:r>
        <w:rPr>
          <w:rFonts w:hint="eastAsia" w:ascii="Times New Roman Regular" w:hAnsi="Times New Roman Regular" w:eastAsia="宋体" w:cs="Times New Roman Regular"/>
          <w:color w:val="000000" w:themeColor="text1"/>
          <w:sz w:val="28"/>
          <w:szCs w:val="28"/>
          <w14:textFill>
            <w14:solidFill>
              <w14:schemeClr w14:val="tx1"/>
            </w14:solidFill>
          </w14:textFill>
        </w:rPr>
        <w:t>扩大</w:t>
      </w:r>
      <w:r>
        <w:rPr>
          <w:rFonts w:ascii="Times New Roman Regular" w:hAnsi="Times New Roman Regular" w:eastAsia="宋体" w:cs="Times New Roman Regular"/>
          <w:color w:val="000000" w:themeColor="text1"/>
          <w:sz w:val="28"/>
          <w:szCs w:val="28"/>
          <w14:textFill>
            <w14:solidFill>
              <w14:schemeClr w14:val="tx1"/>
            </w14:solidFill>
          </w14:textFill>
        </w:rPr>
        <w:t>，需要进一步加强品牌管理,完善品牌标准。</w:t>
      </w:r>
    </w:p>
    <w:p>
      <w:pPr>
        <w:widowControl/>
        <w:numPr>
          <w:ilvl w:val="0"/>
          <w:numId w:val="2"/>
        </w:numPr>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制定标准的必要性、可行性</w:t>
      </w:r>
    </w:p>
    <w:p>
      <w:pPr>
        <w:pStyle w:val="15"/>
        <w:widowControl/>
        <w:spacing w:line="360" w:lineRule="auto"/>
        <w:ind w:firstLine="572"/>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作为扬州的一张名片，绿杨春茶</w:t>
      </w:r>
      <w:r>
        <w:rPr>
          <w:rFonts w:hint="eastAsia" w:ascii="Times New Roman Regular" w:hAnsi="Times New Roman Regular" w:eastAsia="宋体" w:cs="Times New Roman Regular"/>
          <w:snapToGrid w:val="0"/>
          <w:color w:val="000000"/>
          <w:spacing w:val="3"/>
          <w:kern w:val="0"/>
          <w:sz w:val="28"/>
          <w:szCs w:val="28"/>
          <w:lang w:bidi="ar"/>
        </w:rPr>
        <w:t>产业</w:t>
      </w:r>
      <w:r>
        <w:rPr>
          <w:rFonts w:ascii="Times New Roman Regular" w:hAnsi="Times New Roman Regular" w:eastAsia="宋体" w:cs="Times New Roman Regular"/>
          <w:snapToGrid w:val="0"/>
          <w:color w:val="000000"/>
          <w:spacing w:val="3"/>
          <w:kern w:val="0"/>
          <w:sz w:val="28"/>
          <w:szCs w:val="28"/>
          <w:lang w:bidi="ar"/>
        </w:rPr>
        <w:t>已进入了一个崭新的发展阶段，由过去以种植为主向生产、加工、销售一体化转变，目前绿杨春茶种植面积约3.5万亩，年销售已突破1.8亿元。全市工商注册的茶叶企业145家，茶叶加工企业80多家。近年来对区域内生产的绿杨春茶制定了相关的省地方标准，DB32/T 1682 《绿杨春茶茶叶加工技术规程》指导规范我市茶叶生产及行业的健康发展。DB32/T 1682 《绿杨春茶茶叶加工技术规程》，该标准作为绿杨春茶生产、加工依据在全市范围被广泛使用</w:t>
      </w:r>
      <w:r>
        <w:rPr>
          <w:rFonts w:hint="eastAsia" w:ascii="Times New Roman Regular" w:hAnsi="Times New Roman Regular" w:eastAsia="宋体" w:cs="Times New Roman Regular"/>
          <w:snapToGrid w:val="0"/>
          <w:color w:val="000000"/>
          <w:spacing w:val="3"/>
          <w:kern w:val="0"/>
          <w:sz w:val="28"/>
          <w:szCs w:val="28"/>
          <w:lang w:bidi="ar"/>
        </w:rPr>
        <w:t>。</w:t>
      </w:r>
      <w:r>
        <w:rPr>
          <w:rFonts w:ascii="Times New Roman Regular" w:hAnsi="Times New Roman Regular" w:eastAsia="宋体" w:cs="Times New Roman Regular"/>
          <w:snapToGrid w:val="0"/>
          <w:color w:val="000000"/>
          <w:spacing w:val="3"/>
          <w:kern w:val="0"/>
          <w:sz w:val="28"/>
          <w:szCs w:val="28"/>
          <w:lang w:bidi="ar"/>
        </w:rPr>
        <w:t>但随着绿杨春茶产业快速的发展，各生产企业所产绿杨春茶实物差异较大，</w:t>
      </w:r>
      <w:r>
        <w:rPr>
          <w:rFonts w:ascii="Times New Roman Regular" w:hAnsi="Times New Roman Regular" w:eastAsia="宋体" w:cs="Times New Roman Regular"/>
          <w:color w:val="000000" w:themeColor="text1"/>
          <w:sz w:val="28"/>
          <w:szCs w:val="28"/>
          <w14:textFill>
            <w14:solidFill>
              <w14:schemeClr w14:val="tx1"/>
            </w14:solidFill>
          </w14:textFill>
        </w:rPr>
        <w:t>没有统一的实物样制作规范，产品质量良莠不齐，</w:t>
      </w:r>
      <w:r>
        <w:rPr>
          <w:rFonts w:ascii="Times New Roman Regular" w:hAnsi="Times New Roman Regular" w:eastAsia="宋体" w:cs="Times New Roman Regular"/>
          <w:snapToGrid w:val="0"/>
          <w:color w:val="000000"/>
          <w:spacing w:val="3"/>
          <w:kern w:val="0"/>
          <w:sz w:val="28"/>
          <w:szCs w:val="28"/>
          <w:lang w:bidi="ar"/>
        </w:rPr>
        <w:t>对绿杨春茶实物样制作规范需求迫切。</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《绿杨春茶实物样制作规范》标准颁布后能较好的指导绿杨春茶加工企业的技术行为，同时为全省其它市县实物样制作提供技术参考，可操作性强、经济合理。</w:t>
      </w:r>
    </w:p>
    <w:p>
      <w:pPr>
        <w:spacing w:line="360" w:lineRule="auto"/>
        <w:ind w:firstLine="600" w:firstLineChars="200"/>
        <w:rPr>
          <w:rFonts w:hint="eastAsia" w:ascii="黑体" w:hAnsi="黑体" w:eastAsia="黑体" w:cs="黑体"/>
          <w:sz w:val="30"/>
          <w:szCs w:val="30"/>
        </w:rPr>
      </w:pPr>
      <w:r>
        <w:rPr>
          <w:rFonts w:hint="eastAsia" w:ascii="黑体" w:hAnsi="黑体" w:eastAsia="黑体" w:cs="黑体"/>
          <w:sz w:val="30"/>
          <w:szCs w:val="30"/>
          <w:lang w:eastAsia="zh-Hans"/>
        </w:rPr>
        <w:t>二、</w:t>
      </w:r>
      <w:r>
        <w:rPr>
          <w:rFonts w:hint="eastAsia" w:ascii="黑体" w:hAnsi="黑体" w:eastAsia="黑体" w:cs="黑体"/>
          <w:sz w:val="30"/>
          <w:szCs w:val="30"/>
        </w:rPr>
        <w:t>任务来源</w:t>
      </w:r>
    </w:p>
    <w:p>
      <w:pPr>
        <w:widowControl/>
        <w:spacing w:line="360" w:lineRule="auto"/>
        <w:ind w:firstLine="572" w:firstLineChars="200"/>
        <w:rPr>
          <w:rFonts w:hint="eastAsia" w:ascii="Times New Roman Regular" w:hAnsi="Times New Roman Regular" w:eastAsia="宋体" w:cs="Times New Roman Regular"/>
          <w:color w:val="000000" w:themeColor="text1"/>
          <w:sz w:val="28"/>
          <w:szCs w:val="28"/>
          <w14:textFill>
            <w14:solidFill>
              <w14:schemeClr w14:val="tx1"/>
            </w14:solidFill>
          </w14:textFill>
        </w:rPr>
      </w:pPr>
      <w:r>
        <w:rPr>
          <w:rFonts w:ascii="Times New Roman Regular" w:hAnsi="Times New Roman Regular" w:eastAsia="宋体" w:cs="Times New Roman Regular"/>
          <w:snapToGrid w:val="0"/>
          <w:color w:val="000000"/>
          <w:spacing w:val="3"/>
          <w:kern w:val="0"/>
          <w:sz w:val="28"/>
          <w:szCs w:val="28"/>
          <w:lang w:bidi="ar"/>
        </w:rPr>
        <w:t>根据江苏省市场监管局文件《省市场监管局关于下达 2023 年度江苏省地方标准项目计划的通知》（苏市监标〔2023〕173 号）要求，《绿杨春茶实物</w:t>
      </w:r>
      <w:r>
        <w:rPr>
          <w:rFonts w:ascii="Times New Roman Regular" w:hAnsi="Times New Roman Regular" w:eastAsia="宋体" w:cs="Times New Roman Regular"/>
          <w:snapToGrid w:val="0"/>
          <w:color w:val="000000"/>
          <w:spacing w:val="3"/>
          <w:kern w:val="0"/>
          <w:sz w:val="28"/>
          <w:szCs w:val="28"/>
          <w:lang w:eastAsia="zh-Hans" w:bidi="ar"/>
        </w:rPr>
        <w:t>标准</w:t>
      </w:r>
      <w:r>
        <w:rPr>
          <w:rFonts w:ascii="Times New Roman Regular" w:hAnsi="Times New Roman Regular" w:eastAsia="宋体" w:cs="Times New Roman Regular"/>
          <w:snapToGrid w:val="0"/>
          <w:color w:val="000000"/>
          <w:spacing w:val="3"/>
          <w:kern w:val="0"/>
          <w:sz w:val="28"/>
          <w:szCs w:val="28"/>
          <w:lang w:bidi="ar"/>
        </w:rPr>
        <w:t>样制作规范》列入2023 年度江苏省地方标准修订项目计划，由仪征市绿杨春茶叶行业协会作为承担单位负责组织该标准的修订起草工作。</w:t>
      </w:r>
    </w:p>
    <w:p>
      <w:pPr>
        <w:spacing w:line="360" w:lineRule="auto"/>
        <w:ind w:firstLine="600" w:firstLineChars="200"/>
        <w:rPr>
          <w:rFonts w:hint="eastAsia" w:ascii="黑体" w:hAnsi="黑体" w:eastAsia="黑体" w:cs="黑体"/>
          <w:sz w:val="30"/>
          <w:szCs w:val="30"/>
        </w:rPr>
      </w:pPr>
      <w:bookmarkStart w:id="1" w:name="_Hlk177764466"/>
      <w:r>
        <w:rPr>
          <w:rFonts w:ascii="黑体" w:hAnsi="黑体" w:eastAsia="黑体" w:cs="黑体"/>
          <w:sz w:val="30"/>
          <w:szCs w:val="30"/>
        </w:rPr>
        <w:t>三、编制过程</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标准简要起草过程：</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项目申报期间，由仪征市绿杨春茶叶行业协会牵头，走访了扬州市绿杨春茶集中产区部分生产企业。对绿杨春茶产业情况等方面做了初步调研，获得了初步的调研数据。</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2023年8月，江苏省市场监管局正式发文，《绿杨春茶实物样制作规范》列入2023 年度江苏省地方标准修订项目计划。收到通知后，项目组在扬州召开项目启动会，会议讨论并通过了标准修订工作方案，确定了项目研究内容及方法、项目研究思路及研究进度。</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2023年8月至9月，项目组查阅、收集、比对国内外相关文献资料及标准，主要涉及GB/T 18795 《茶叶标准样品制备技术条件》、GB/T15000.4 《 标准样品工作导则》。对照原有的江苏省地方标准</w:t>
      </w:r>
      <w:bookmarkStart w:id="2" w:name="_Hlk177762519"/>
      <w:r>
        <w:rPr>
          <w:rFonts w:ascii="Times New Roman Regular" w:hAnsi="Times New Roman Regular" w:eastAsia="宋体" w:cs="Times New Roman Regular"/>
          <w:snapToGrid w:val="0"/>
          <w:color w:val="000000"/>
          <w:spacing w:val="3"/>
          <w:kern w:val="0"/>
          <w:sz w:val="28"/>
          <w:szCs w:val="28"/>
          <w:lang w:bidi="ar"/>
        </w:rPr>
        <w:t>DB32/T 1682 《绿杨春茶 茶叶加工技术规程》</w:t>
      </w:r>
      <w:bookmarkEnd w:id="2"/>
      <w:r>
        <w:rPr>
          <w:rFonts w:ascii="Times New Roman Regular" w:hAnsi="Times New Roman Regular" w:eastAsia="宋体" w:cs="Times New Roman Regular"/>
          <w:snapToGrid w:val="0"/>
          <w:color w:val="000000"/>
          <w:spacing w:val="3"/>
          <w:kern w:val="0"/>
          <w:sz w:val="28"/>
          <w:szCs w:val="28"/>
          <w:lang w:bidi="ar"/>
        </w:rPr>
        <w:t>发现现有标准不满足当前绿杨春茶生产的具体情况。项目组将调研情况及企业需求进行了汇总，并</w:t>
      </w:r>
      <w:bookmarkStart w:id="22" w:name="_GoBack"/>
      <w:bookmarkEnd w:id="22"/>
      <w:r>
        <w:rPr>
          <w:rFonts w:ascii="Times New Roman Regular" w:hAnsi="Times New Roman Regular" w:eastAsia="宋体" w:cs="Times New Roman Regular"/>
          <w:snapToGrid w:val="0"/>
          <w:color w:val="000000"/>
          <w:spacing w:val="3"/>
          <w:kern w:val="0"/>
          <w:sz w:val="28"/>
          <w:szCs w:val="28"/>
          <w:lang w:bidi="ar"/>
        </w:rPr>
        <w:t>将在标准修订过程中酌情考虑。</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2023年10月至12月，项目组在扬州市开展绿杨春茶生产企业的实地调研，调研生产企业8家，同时开展样品抽样验证工作，采集样品14批次，</w:t>
      </w:r>
      <w:r>
        <w:rPr>
          <w:rFonts w:ascii="Times New Roman Regular" w:hAnsi="Times New Roman Regular" w:eastAsia="宋体" w:cs="Times New Roman Regular"/>
          <w:color w:val="000000"/>
          <w:sz w:val="28"/>
          <w:szCs w:val="28"/>
        </w:rPr>
        <w:t>结合绿杨春茶的种植加工工艺，</w:t>
      </w:r>
      <w:r>
        <w:rPr>
          <w:rFonts w:ascii="Times New Roman Regular" w:hAnsi="Times New Roman Regular" w:eastAsia="宋体" w:cs="Times New Roman Regular"/>
          <w:snapToGrid w:val="0"/>
          <w:color w:val="000000"/>
          <w:spacing w:val="3"/>
          <w:kern w:val="0"/>
          <w:sz w:val="28"/>
          <w:szCs w:val="28"/>
          <w:lang w:bidi="ar"/>
        </w:rPr>
        <w:t>参考GB/T 18795 《茶叶标准样品制备技术条件》、GB/T15000.4 《 标准样品工作导则》、DB32/T 1682 《绿杨春茶 茶叶加工技术规程》完成标准初稿及编制说明初稿。</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2024年1月-4月，经过项目组成员讨论，对标准初稿及编制说明初稿进行完善，完成了标准征求意见稿。在全省范围内向各相关单位专家、监管部门、行业协会、绿杨春茶生产企业等发出征求意见稿 14 份，收到 11 份反馈意见，3份回复无意见，共计反馈意见20 条。（征求意见汇总见附表1）</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2024年5月组织召开征求意见讨论会，项目组成员及部分企业代表对收集汇总的 20 条建议进行了梳理，并逐一确定处理意见。其中采纳 15条，部分采纳 0 条，不采纳 5条。根据处理意见继续完善标准文本及编制说明，形成标准送审稿（草稿）。</w:t>
      </w:r>
      <w:bookmarkEnd w:id="1"/>
    </w:p>
    <w:p>
      <w:pPr>
        <w:spacing w:line="360" w:lineRule="auto"/>
        <w:ind w:firstLine="560" w:firstLineChars="200"/>
        <w:rPr>
          <w:rFonts w:hint="eastAsia" w:ascii="黑体" w:hAnsi="黑体" w:eastAsia="黑体" w:cs="黑体"/>
          <w:b/>
          <w:bCs/>
          <w:sz w:val="28"/>
          <w:szCs w:val="28"/>
        </w:rPr>
      </w:pPr>
      <w:r>
        <w:rPr>
          <w:rFonts w:hint="eastAsia" w:ascii="黑体" w:hAnsi="黑体" w:eastAsia="黑体" w:cs="黑体"/>
          <w:sz w:val="28"/>
          <w:szCs w:val="28"/>
        </w:rPr>
        <w:t>四、主要内容</w:t>
      </w:r>
      <w:r>
        <w:rPr>
          <w:rFonts w:hint="eastAsia" w:ascii="黑体" w:hAnsi="黑体" w:eastAsia="黑体" w:cs="黑体"/>
          <w:sz w:val="28"/>
          <w:szCs w:val="28"/>
          <w:lang w:eastAsia="zh-Hans"/>
        </w:rPr>
        <w:t>与</w:t>
      </w:r>
      <w:r>
        <w:rPr>
          <w:rFonts w:hint="eastAsia" w:ascii="黑体" w:hAnsi="黑体" w:eastAsia="黑体" w:cs="黑体"/>
          <w:sz w:val="28"/>
          <w:szCs w:val="28"/>
        </w:rPr>
        <w:t>技术指标确立</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（一）适用范围和及立标依据</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本标准所指绿杨春茶，</w:t>
      </w:r>
      <w:bookmarkStart w:id="3" w:name="OLE_LINK1"/>
      <w:r>
        <w:rPr>
          <w:rFonts w:ascii="Times New Roman Regular" w:hAnsi="Times New Roman Regular" w:eastAsia="宋体" w:cs="Times New Roman Regular"/>
          <w:snapToGrid w:val="0"/>
          <w:color w:val="000000"/>
          <w:spacing w:val="3"/>
          <w:kern w:val="0"/>
          <w:sz w:val="28"/>
          <w:szCs w:val="28"/>
          <w:lang w:bidi="ar"/>
        </w:rPr>
        <w:t>适用于扬州市范围采摘的符合绿杨春茶鲜叶质量要求的无性系和有性系原料，加工人员按绿杨春茶制作工艺（DB32/T 1682）制作出不同等级的绿杨春茶。</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（二）技术要求</w:t>
      </w:r>
    </w:p>
    <w:p>
      <w:pPr>
        <w:widowControl/>
        <w:spacing w:line="360" w:lineRule="auto"/>
        <w:ind w:left="559" w:leftChars="266"/>
        <w:jc w:val="left"/>
        <w:rPr>
          <w:rFonts w:hint="eastAsia" w:ascii="Times New Roman Regular" w:hAnsi="Times New Roman Regular" w:eastAsia="宋体" w:cs="Times New Roman Regular"/>
          <w:snapToGrid w:val="0"/>
          <w:color w:val="000000"/>
          <w:spacing w:val="3"/>
          <w:kern w:val="0"/>
          <w:sz w:val="28"/>
          <w:szCs w:val="28"/>
          <w:lang w:bidi="ar"/>
        </w:rPr>
      </w:pPr>
      <w:bookmarkStart w:id="4" w:name="_Toc121991970"/>
      <w:r>
        <w:rPr>
          <w:rFonts w:ascii="Times New Roman Regular" w:hAnsi="Times New Roman Regular" w:eastAsia="宋体" w:cs="Times New Roman Regular"/>
          <w:snapToGrid w:val="0"/>
          <w:color w:val="000000"/>
          <w:spacing w:val="3"/>
          <w:kern w:val="0"/>
          <w:sz w:val="28"/>
          <w:szCs w:val="28"/>
          <w:lang w:bidi="ar"/>
        </w:rPr>
        <w:t>1  生产条件要求</w:t>
      </w:r>
      <w:bookmarkEnd w:id="4"/>
      <w:bookmarkStart w:id="5" w:name="_Toc121991971"/>
      <w:r>
        <w:rPr>
          <w:rFonts w:ascii="Times New Roman Regular" w:hAnsi="Times New Roman Regular" w:eastAsia="宋体" w:cs="Times New Roman Regular"/>
          <w:snapToGrid w:val="0"/>
          <w:color w:val="000000"/>
          <w:spacing w:val="3"/>
          <w:kern w:val="0"/>
          <w:sz w:val="28"/>
          <w:szCs w:val="28"/>
          <w:lang w:bidi="ar"/>
        </w:rPr>
        <w:t xml:space="preserve">                                          1.1  通用卫生要求</w:t>
      </w:r>
      <w:bookmarkEnd w:id="5"/>
      <w:r>
        <w:rPr>
          <w:rFonts w:ascii="Times New Roman Regular" w:hAnsi="Times New Roman Regular" w:eastAsia="宋体" w:cs="Times New Roman Regular"/>
          <w:snapToGrid w:val="0"/>
          <w:color w:val="000000"/>
          <w:spacing w:val="3"/>
          <w:kern w:val="0"/>
          <w:sz w:val="28"/>
          <w:szCs w:val="28"/>
          <w:lang w:bidi="ar"/>
        </w:rPr>
        <w:t xml:space="preserve">                                                                                            </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应符合GB 14881的规定。</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bookmarkStart w:id="6" w:name="_Toc121991972"/>
      <w:r>
        <w:rPr>
          <w:rFonts w:ascii="Times New Roman Regular" w:hAnsi="Times New Roman Regular" w:eastAsia="宋体" w:cs="Times New Roman Regular"/>
          <w:snapToGrid w:val="0"/>
          <w:color w:val="000000"/>
          <w:spacing w:val="3"/>
          <w:kern w:val="0"/>
          <w:sz w:val="28"/>
          <w:szCs w:val="28"/>
          <w:lang w:bidi="ar"/>
        </w:rPr>
        <w:t>1.2  加工厂</w:t>
      </w:r>
      <w:bookmarkEnd w:id="6"/>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bookmarkStart w:id="7" w:name="_Toc121991973"/>
      <w:r>
        <w:rPr>
          <w:rFonts w:ascii="Times New Roman Regular" w:hAnsi="Times New Roman Regular" w:eastAsia="宋体" w:cs="Times New Roman Regular"/>
          <w:snapToGrid w:val="0"/>
          <w:color w:val="000000"/>
          <w:spacing w:val="3"/>
          <w:kern w:val="0"/>
          <w:sz w:val="28"/>
          <w:szCs w:val="28"/>
          <w:lang w:bidi="ar"/>
        </w:rPr>
        <w:t>应符合DB32/T 1682的规定。</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1.3  加工设备要求</w:t>
      </w:r>
      <w:bookmarkEnd w:id="7"/>
    </w:p>
    <w:p>
      <w:pPr>
        <w:widowControl/>
        <w:spacing w:line="360" w:lineRule="auto"/>
        <w:ind w:firstLine="572" w:firstLineChars="200"/>
        <w:rPr>
          <w:rFonts w:hint="eastAsia" w:ascii="Times New Roman Regular" w:hAnsi="Times New Roman Regular" w:eastAsia="宋体" w:cs="Times New Roman Regular"/>
          <w:snapToGrid w:val="0"/>
          <w:spacing w:val="3"/>
          <w:kern w:val="0"/>
          <w:sz w:val="28"/>
          <w:szCs w:val="28"/>
          <w:lang w:bidi="ar"/>
        </w:rPr>
      </w:pPr>
      <w:r>
        <w:rPr>
          <w:rFonts w:ascii="Times New Roman Regular" w:hAnsi="Times New Roman Regular" w:eastAsia="宋体" w:cs="Times New Roman Regular"/>
          <w:snapToGrid w:val="0"/>
          <w:spacing w:val="3"/>
          <w:kern w:val="0"/>
          <w:sz w:val="28"/>
          <w:szCs w:val="28"/>
          <w:lang w:bidi="ar"/>
        </w:rPr>
        <w:t>应符合DB32/T 1682的规定。</w:t>
      </w:r>
    </w:p>
    <w:p>
      <w:pPr>
        <w:widowControl/>
        <w:spacing w:line="360" w:lineRule="auto"/>
        <w:ind w:firstLine="572" w:firstLineChars="200"/>
        <w:rPr>
          <w:rFonts w:hint="eastAsia" w:ascii="Times New Roman Regular" w:hAnsi="Times New Roman Regular" w:eastAsia="宋体" w:cs="Times New Roman Regular"/>
          <w:snapToGrid w:val="0"/>
          <w:spacing w:val="3"/>
          <w:kern w:val="0"/>
          <w:sz w:val="28"/>
          <w:szCs w:val="28"/>
          <w:lang w:bidi="ar"/>
        </w:rPr>
      </w:pPr>
      <w:bookmarkStart w:id="8" w:name="_Toc121991974"/>
      <w:r>
        <w:rPr>
          <w:rFonts w:ascii="Times New Roman Regular" w:hAnsi="Times New Roman Regular" w:eastAsia="宋体" w:cs="Times New Roman Regular"/>
          <w:snapToGrid w:val="0"/>
          <w:spacing w:val="3"/>
          <w:kern w:val="0"/>
          <w:sz w:val="28"/>
          <w:szCs w:val="28"/>
          <w:lang w:bidi="ar"/>
        </w:rPr>
        <w:t>2  加工人员</w:t>
      </w:r>
      <w:bookmarkEnd w:id="8"/>
    </w:p>
    <w:p>
      <w:pPr>
        <w:widowControl/>
        <w:spacing w:line="360" w:lineRule="auto"/>
        <w:ind w:firstLine="572" w:firstLineChars="200"/>
        <w:rPr>
          <w:rFonts w:hint="eastAsia" w:ascii="Times New Roman Regular" w:hAnsi="Times New Roman Regular" w:eastAsia="宋体" w:cs="Times New Roman Regular"/>
          <w:snapToGrid w:val="0"/>
          <w:spacing w:val="3"/>
          <w:kern w:val="0"/>
          <w:sz w:val="28"/>
          <w:szCs w:val="28"/>
          <w:lang w:bidi="ar"/>
        </w:rPr>
      </w:pPr>
      <w:r>
        <w:rPr>
          <w:rFonts w:ascii="Times New Roman Regular" w:hAnsi="Times New Roman Regular" w:eastAsia="宋体" w:cs="Times New Roman Regular"/>
          <w:snapToGrid w:val="0"/>
          <w:spacing w:val="3"/>
          <w:kern w:val="0"/>
          <w:sz w:val="28"/>
          <w:szCs w:val="28"/>
          <w:lang w:bidi="ar"/>
        </w:rPr>
        <w:t>应符合DB32/T 1682的规定。</w:t>
      </w:r>
    </w:p>
    <w:p>
      <w:pPr>
        <w:widowControl/>
        <w:spacing w:line="360" w:lineRule="auto"/>
        <w:ind w:firstLine="572" w:firstLineChars="200"/>
        <w:rPr>
          <w:rFonts w:hint="eastAsia" w:ascii="Times New Roman Regular" w:hAnsi="Times New Roman Regular" w:eastAsia="宋体" w:cs="Times New Roman Regular"/>
          <w:snapToGrid w:val="0"/>
          <w:spacing w:val="3"/>
          <w:kern w:val="0"/>
          <w:sz w:val="28"/>
          <w:szCs w:val="28"/>
          <w:lang w:bidi="ar"/>
        </w:rPr>
      </w:pPr>
      <w:r>
        <w:rPr>
          <w:rFonts w:ascii="Times New Roman Regular" w:hAnsi="Times New Roman Regular" w:eastAsia="宋体" w:cs="Times New Roman Regular"/>
          <w:snapToGrid w:val="0"/>
          <w:spacing w:val="3"/>
          <w:kern w:val="0"/>
          <w:sz w:val="28"/>
          <w:szCs w:val="28"/>
          <w:lang w:bidi="ar"/>
        </w:rPr>
        <w:t>3  基准样制备</w:t>
      </w:r>
    </w:p>
    <w:p>
      <w:pPr>
        <w:widowControl/>
        <w:spacing w:line="360" w:lineRule="auto"/>
        <w:ind w:firstLine="572" w:firstLineChars="200"/>
        <w:rPr>
          <w:rFonts w:hint="eastAsia" w:ascii="Times New Roman Regular" w:hAnsi="Times New Roman Regular" w:eastAsia="宋体" w:cs="Times New Roman Regular"/>
          <w:snapToGrid w:val="0"/>
          <w:spacing w:val="3"/>
          <w:kern w:val="0"/>
          <w:sz w:val="28"/>
          <w:szCs w:val="28"/>
          <w:lang w:bidi="ar"/>
        </w:rPr>
      </w:pPr>
      <w:r>
        <w:rPr>
          <w:rFonts w:ascii="Times New Roman Regular" w:hAnsi="Times New Roman Regular" w:eastAsia="宋体" w:cs="Times New Roman Regular"/>
          <w:snapToGrid w:val="0"/>
          <w:spacing w:val="3"/>
          <w:kern w:val="0"/>
          <w:sz w:val="28"/>
          <w:szCs w:val="28"/>
          <w:lang w:bidi="ar"/>
        </w:rPr>
        <w:t>3.1原料</w:t>
      </w:r>
    </w:p>
    <w:p>
      <w:pPr>
        <w:widowControl/>
        <w:spacing w:line="360" w:lineRule="auto"/>
        <w:ind w:firstLine="572" w:firstLineChars="200"/>
        <w:rPr>
          <w:rFonts w:hint="eastAsia" w:ascii="Times New Roman Regular" w:hAnsi="Times New Roman Regular" w:eastAsia="宋体" w:cs="Times New Roman Regular"/>
          <w:snapToGrid w:val="0"/>
          <w:spacing w:val="3"/>
          <w:kern w:val="0"/>
          <w:sz w:val="28"/>
          <w:szCs w:val="28"/>
          <w:lang w:bidi="ar"/>
        </w:rPr>
      </w:pPr>
      <w:r>
        <w:rPr>
          <w:rFonts w:ascii="Times New Roman Regular" w:hAnsi="Times New Roman Regular" w:eastAsia="宋体" w:cs="Times New Roman Regular"/>
          <w:snapToGrid w:val="0"/>
          <w:spacing w:val="3"/>
          <w:kern w:val="0"/>
          <w:sz w:val="28"/>
          <w:szCs w:val="28"/>
          <w:lang w:bidi="ar"/>
        </w:rPr>
        <w:t>在绿杨春生产季节，从茶产地范围选取三分之二以上茶场按DB32/T 1682制作的不同等级干茶样品各250克，同时采样单位留样250克</w:t>
      </w:r>
      <w:r>
        <w:rPr>
          <w:rFonts w:ascii="Times New Roman Regular" w:hAnsi="Times New Roman Regular" w:eastAsia="宋体" w:cs="Times New Roman Regular"/>
          <w:snapToGrid w:val="0"/>
          <w:spacing w:val="3"/>
          <w:kern w:val="0"/>
          <w:sz w:val="28"/>
          <w:szCs w:val="28"/>
          <w:lang w:eastAsia="zh-Hans" w:bidi="ar"/>
        </w:rPr>
        <w:t>作为备份样</w:t>
      </w:r>
      <w:r>
        <w:rPr>
          <w:rFonts w:ascii="Times New Roman Regular" w:hAnsi="Times New Roman Regular" w:eastAsia="宋体" w:cs="Times New Roman Regular"/>
          <w:snapToGrid w:val="0"/>
          <w:spacing w:val="3"/>
          <w:kern w:val="0"/>
          <w:sz w:val="28"/>
          <w:szCs w:val="28"/>
          <w:lang w:bidi="ar"/>
        </w:rPr>
        <w:t>。</w:t>
      </w:r>
    </w:p>
    <w:p>
      <w:pPr>
        <w:widowControl/>
        <w:spacing w:line="360" w:lineRule="auto"/>
        <w:ind w:firstLine="572" w:firstLineChars="200"/>
        <w:rPr>
          <w:rFonts w:hint="eastAsia" w:ascii="Times New Roman Regular" w:hAnsi="Times New Roman Regular" w:eastAsia="宋体" w:cs="Times New Roman Regular"/>
          <w:snapToGrid w:val="0"/>
          <w:spacing w:val="3"/>
          <w:kern w:val="0"/>
          <w:sz w:val="28"/>
          <w:szCs w:val="28"/>
          <w:lang w:bidi="ar"/>
        </w:rPr>
      </w:pPr>
      <w:r>
        <w:rPr>
          <w:rFonts w:ascii="Times New Roman Regular" w:hAnsi="Times New Roman Regular" w:eastAsia="宋体" w:cs="Times New Roman Regular"/>
          <w:snapToGrid w:val="0"/>
          <w:spacing w:val="3"/>
          <w:kern w:val="0"/>
          <w:sz w:val="28"/>
          <w:szCs w:val="28"/>
          <w:lang w:bidi="ar"/>
        </w:rPr>
        <w:t>3.2制备</w:t>
      </w:r>
    </w:p>
    <w:p>
      <w:pPr>
        <w:widowControl/>
        <w:spacing w:line="360" w:lineRule="auto"/>
        <w:ind w:firstLine="572" w:firstLineChars="200"/>
        <w:rPr>
          <w:rFonts w:hint="eastAsia" w:ascii="Times New Roman Regular" w:hAnsi="Times New Roman Regular" w:eastAsia="宋体" w:cs="Times New Roman Regular"/>
          <w:snapToGrid w:val="0"/>
          <w:spacing w:val="3"/>
          <w:kern w:val="0"/>
          <w:sz w:val="28"/>
          <w:szCs w:val="28"/>
          <w:lang w:bidi="ar"/>
        </w:rPr>
      </w:pPr>
      <w:r>
        <w:rPr>
          <w:rFonts w:ascii="Times New Roman Regular" w:hAnsi="Times New Roman Regular" w:eastAsia="宋体" w:cs="Times New Roman Regular"/>
          <w:snapToGrid w:val="0"/>
          <w:spacing w:val="3"/>
          <w:kern w:val="0"/>
          <w:sz w:val="28"/>
          <w:szCs w:val="28"/>
          <w:lang w:bidi="ar"/>
        </w:rPr>
        <w:t>3.2.1原料审评</w:t>
      </w:r>
    </w:p>
    <w:p>
      <w:pPr>
        <w:pStyle w:val="4"/>
        <w:spacing w:line="360" w:lineRule="auto"/>
        <w:ind w:firstLine="560" w:firstLineChars="200"/>
        <w:rPr>
          <w:rFonts w:hint="eastAsia" w:ascii="Times New Roman Regular" w:hAnsi="Times New Roman Regular" w:eastAsia="宋体" w:cs="Times New Roman Regular"/>
          <w:snapToGrid w:val="0"/>
          <w:spacing w:val="3"/>
          <w:kern w:val="0"/>
          <w:sz w:val="28"/>
          <w:szCs w:val="28"/>
          <w:lang w:bidi="ar"/>
        </w:rPr>
      </w:pPr>
      <w:r>
        <w:rPr>
          <w:rFonts w:ascii="Times New Roman Regular" w:hAnsi="Times New Roman Regular" w:eastAsia="宋体" w:cs="Times New Roman Regular"/>
          <w:sz w:val="28"/>
          <w:szCs w:val="28"/>
          <w:lang w:eastAsia="zh-Hans"/>
        </w:rPr>
        <w:t>采用GB/T 23776的方法进行感官审评，对照DB32/T 1682文字标准要求，剔除不符合标准水平的茶样原料，经</w:t>
      </w:r>
      <w:r>
        <w:rPr>
          <w:rFonts w:ascii="Times New Roman Regular" w:hAnsi="Times New Roman Regular" w:eastAsia="宋体" w:cs="Times New Roman Regular"/>
          <w:sz w:val="28"/>
          <w:szCs w:val="28"/>
        </w:rPr>
        <w:t>理化卫生指标检测合格</w:t>
      </w:r>
      <w:r>
        <w:rPr>
          <w:rFonts w:ascii="Times New Roman Regular" w:hAnsi="Times New Roman Regular" w:eastAsia="宋体" w:cs="Times New Roman Regular"/>
          <w:sz w:val="28"/>
          <w:szCs w:val="28"/>
          <w:lang w:eastAsia="zh-Hans"/>
        </w:rPr>
        <w:t>后，</w:t>
      </w:r>
      <w:r>
        <w:rPr>
          <w:rFonts w:ascii="Times New Roman Regular" w:hAnsi="Times New Roman Regular" w:eastAsia="宋体" w:cs="Times New Roman Regular"/>
          <w:sz w:val="28"/>
          <w:szCs w:val="28"/>
        </w:rPr>
        <w:t>作为</w:t>
      </w:r>
      <w:r>
        <w:rPr>
          <w:rFonts w:ascii="Times New Roman Regular" w:hAnsi="Times New Roman Regular" w:eastAsia="宋体" w:cs="Times New Roman Regular"/>
          <w:sz w:val="28"/>
          <w:szCs w:val="28"/>
          <w:lang w:eastAsia="zh-Hans"/>
        </w:rPr>
        <w:t>茶样</w:t>
      </w:r>
      <w:r>
        <w:rPr>
          <w:rFonts w:ascii="Times New Roman Regular" w:hAnsi="Times New Roman Regular" w:eastAsia="宋体" w:cs="Times New Roman Regular"/>
          <w:sz w:val="28"/>
          <w:szCs w:val="28"/>
        </w:rPr>
        <w:t>原料</w:t>
      </w:r>
      <w:r>
        <w:rPr>
          <w:rFonts w:ascii="Times New Roman Regular" w:hAnsi="Times New Roman Regular" w:eastAsia="宋体" w:cs="Times New Roman Regular"/>
          <w:sz w:val="28"/>
          <w:szCs w:val="28"/>
          <w:lang w:eastAsia="zh-Hans"/>
        </w:rPr>
        <w:t>进行试拼</w:t>
      </w:r>
      <w:r>
        <w:rPr>
          <w:rFonts w:ascii="Times New Roman Regular" w:hAnsi="Times New Roman Regular" w:eastAsia="宋体" w:cs="Times New Roman Regular"/>
          <w:snapToGrid w:val="0"/>
          <w:spacing w:val="3"/>
          <w:kern w:val="0"/>
          <w:sz w:val="28"/>
          <w:szCs w:val="28"/>
          <w:lang w:bidi="ar"/>
        </w:rPr>
        <w:t xml:space="preserve">。 </w:t>
      </w:r>
    </w:p>
    <w:p>
      <w:pPr>
        <w:widowControl/>
        <w:spacing w:line="360" w:lineRule="auto"/>
        <w:ind w:firstLine="572" w:firstLineChars="200"/>
        <w:rPr>
          <w:rFonts w:hint="eastAsia" w:ascii="Times New Roman Regular" w:hAnsi="Times New Roman Regular" w:eastAsia="宋体" w:cs="Times New Roman Regular"/>
          <w:snapToGrid w:val="0"/>
          <w:spacing w:val="3"/>
          <w:kern w:val="0"/>
          <w:sz w:val="28"/>
          <w:szCs w:val="28"/>
          <w:lang w:bidi="ar"/>
        </w:rPr>
      </w:pPr>
      <w:r>
        <w:rPr>
          <w:rFonts w:ascii="Times New Roman Regular" w:hAnsi="Times New Roman Regular" w:eastAsia="宋体" w:cs="Times New Roman Regular"/>
          <w:snapToGrid w:val="0"/>
          <w:spacing w:val="3"/>
          <w:kern w:val="0"/>
          <w:sz w:val="28"/>
          <w:szCs w:val="28"/>
          <w:lang w:bidi="ar"/>
        </w:rPr>
        <w:t>3.2.2试拼</w:t>
      </w:r>
    </w:p>
    <w:p>
      <w:pPr>
        <w:pStyle w:val="4"/>
        <w:spacing w:line="360" w:lineRule="auto"/>
        <w:ind w:firstLine="560" w:firstLineChars="200"/>
        <w:rPr>
          <w:rFonts w:hint="eastAsia" w:ascii="Times New Roman Regular" w:hAnsi="Times New Roman Regular" w:eastAsia="宋体" w:cs="Times New Roman Regular"/>
          <w:snapToGrid w:val="0"/>
          <w:spacing w:val="3"/>
          <w:kern w:val="0"/>
          <w:sz w:val="28"/>
          <w:szCs w:val="28"/>
          <w:lang w:bidi="ar"/>
        </w:rPr>
      </w:pPr>
      <w:r>
        <w:rPr>
          <w:rFonts w:ascii="Times New Roman Regular" w:hAnsi="Times New Roman Regular" w:eastAsia="宋体" w:cs="Times New Roman Regular"/>
          <w:sz w:val="28"/>
          <w:szCs w:val="28"/>
          <w:lang w:eastAsia="zh-Hans"/>
        </w:rPr>
        <w:t>按照DB32/T 1682级别要求，将不同等级、不同批次的茶叶按不同的比例进行小试拼配，试拼应保证基准样的品质稳定性，兼顾不同等级之间的级别差，</w:t>
      </w:r>
      <w:r>
        <w:rPr>
          <w:rFonts w:ascii="Times New Roman Regular" w:hAnsi="Times New Roman Regular" w:eastAsia="宋体" w:cs="Times New Roman Regular"/>
          <w:sz w:val="28"/>
          <w:szCs w:val="28"/>
        </w:rPr>
        <w:t>确定</w:t>
      </w:r>
      <w:r>
        <w:rPr>
          <w:rFonts w:ascii="Times New Roman Regular" w:hAnsi="Times New Roman Regular" w:eastAsia="宋体" w:cs="Times New Roman Regular"/>
          <w:sz w:val="28"/>
          <w:szCs w:val="28"/>
          <w:lang w:eastAsia="zh-Hans"/>
        </w:rPr>
        <w:t>拼配</w:t>
      </w:r>
      <w:r>
        <w:rPr>
          <w:rFonts w:ascii="Times New Roman Regular" w:hAnsi="Times New Roman Regular" w:eastAsia="宋体" w:cs="Times New Roman Regular"/>
          <w:sz w:val="28"/>
          <w:szCs w:val="28"/>
        </w:rPr>
        <w:t>比例</w:t>
      </w:r>
      <w:r>
        <w:rPr>
          <w:rFonts w:ascii="Times New Roman Regular" w:hAnsi="Times New Roman Regular" w:eastAsia="宋体" w:cs="Times New Roman Regular"/>
          <w:sz w:val="28"/>
          <w:szCs w:val="28"/>
          <w:lang w:eastAsia="zh-Hans"/>
        </w:rPr>
        <w:t>。</w:t>
      </w:r>
    </w:p>
    <w:p>
      <w:pPr>
        <w:widowControl/>
        <w:spacing w:line="360" w:lineRule="auto"/>
        <w:ind w:firstLine="572" w:firstLineChars="200"/>
        <w:rPr>
          <w:rFonts w:hint="eastAsia" w:ascii="Times New Roman Regular" w:hAnsi="Times New Roman Regular" w:eastAsia="宋体" w:cs="Times New Roman Regular"/>
          <w:snapToGrid w:val="0"/>
          <w:spacing w:val="3"/>
          <w:kern w:val="0"/>
          <w:sz w:val="28"/>
          <w:szCs w:val="28"/>
          <w:lang w:bidi="ar"/>
        </w:rPr>
      </w:pPr>
      <w:r>
        <w:rPr>
          <w:rFonts w:ascii="Times New Roman Regular" w:hAnsi="Times New Roman Regular" w:eastAsia="宋体" w:cs="Times New Roman Regular"/>
          <w:snapToGrid w:val="0"/>
          <w:spacing w:val="3"/>
          <w:kern w:val="0"/>
          <w:sz w:val="28"/>
          <w:szCs w:val="28"/>
          <w:lang w:bidi="ar"/>
        </w:rPr>
        <w:t>3.2.3审评调整</w:t>
      </w:r>
    </w:p>
    <w:p>
      <w:pPr>
        <w:widowControl/>
        <w:spacing w:line="360" w:lineRule="auto"/>
        <w:ind w:firstLine="560" w:firstLineChars="200"/>
        <w:rPr>
          <w:rFonts w:hint="eastAsia" w:ascii="Times New Roman Regular" w:hAnsi="Times New Roman Regular" w:eastAsia="宋体" w:cs="Times New Roman Regular"/>
          <w:snapToGrid w:val="0"/>
          <w:spacing w:val="3"/>
          <w:kern w:val="0"/>
          <w:sz w:val="28"/>
          <w:szCs w:val="28"/>
          <w:lang w:bidi="ar"/>
        </w:rPr>
      </w:pPr>
      <w:r>
        <w:rPr>
          <w:rFonts w:ascii="Times New Roman Regular" w:hAnsi="Times New Roman Regular" w:eastAsia="宋体" w:cs="Times New Roman Regular"/>
          <w:sz w:val="28"/>
          <w:szCs w:val="28"/>
          <w:lang w:eastAsia="zh-Hans"/>
        </w:rPr>
        <w:t>对照DB32/T 1682文字标准要求对相应级别的小样进行审评调整，最终确定各级小样的拼配比例，得到不同等级绿杨春茶基准样</w:t>
      </w:r>
      <w:r>
        <w:rPr>
          <w:rFonts w:ascii="Times New Roman Regular" w:hAnsi="Times New Roman Regular" w:eastAsia="宋体" w:cs="Times New Roman Regular"/>
          <w:snapToGrid w:val="0"/>
          <w:spacing w:val="3"/>
          <w:kern w:val="0"/>
          <w:sz w:val="28"/>
          <w:szCs w:val="28"/>
          <w:lang w:eastAsia="zh-Hans" w:bidi="ar"/>
        </w:rPr>
        <w:t>。</w:t>
      </w:r>
    </w:p>
    <w:p>
      <w:pPr>
        <w:widowControl/>
        <w:spacing w:line="360" w:lineRule="auto"/>
        <w:ind w:firstLine="560" w:firstLineChars="200"/>
        <w:rPr>
          <w:rFonts w:hint="eastAsia" w:ascii="Times New Roman Regular" w:hAnsi="Times New Roman Regular" w:eastAsia="宋体" w:cs="Times New Roman Regular"/>
          <w:bCs/>
          <w:sz w:val="28"/>
          <w:szCs w:val="28"/>
        </w:rPr>
      </w:pPr>
      <w:bookmarkStart w:id="9" w:name="_Toc121991979"/>
      <w:r>
        <w:rPr>
          <w:rFonts w:ascii="Times New Roman Regular" w:hAnsi="Times New Roman Regular" w:eastAsia="宋体" w:cs="Times New Roman Regular"/>
          <w:bCs/>
          <w:sz w:val="28"/>
          <w:szCs w:val="28"/>
        </w:rPr>
        <w:t>4 实物标准样制备</w:t>
      </w:r>
      <w:bookmarkEnd w:id="9"/>
    </w:p>
    <w:p>
      <w:pPr>
        <w:pStyle w:val="3"/>
        <w:spacing w:before="0" w:after="0" w:line="360" w:lineRule="auto"/>
        <w:ind w:firstLine="560" w:firstLineChars="200"/>
        <w:rPr>
          <w:rFonts w:hint="eastAsia" w:ascii="Times New Roman Regular" w:hAnsi="Times New Roman Regular" w:eastAsia="宋体" w:cs="Times New Roman Regular"/>
          <w:b w:val="0"/>
          <w:sz w:val="28"/>
          <w:szCs w:val="28"/>
        </w:rPr>
      </w:pPr>
      <w:bookmarkStart w:id="10" w:name="_Toc121991980"/>
      <w:r>
        <w:rPr>
          <w:rFonts w:ascii="Times New Roman Regular" w:hAnsi="Times New Roman Regular" w:eastAsia="宋体" w:cs="Times New Roman Regular"/>
          <w:b w:val="0"/>
          <w:sz w:val="28"/>
          <w:szCs w:val="28"/>
        </w:rPr>
        <w:t>4.1  原料</w:t>
      </w:r>
      <w:bookmarkEnd w:id="10"/>
    </w:p>
    <w:p>
      <w:pPr>
        <w:pStyle w:val="3"/>
        <w:spacing w:before="0" w:after="0" w:line="360" w:lineRule="auto"/>
        <w:ind w:firstLine="560" w:firstLineChars="200"/>
        <w:rPr>
          <w:rFonts w:hint="eastAsia" w:ascii="Times New Roman Regular" w:hAnsi="Times New Roman Regular" w:eastAsia="宋体" w:cs="Times New Roman Regular"/>
          <w:b w:val="0"/>
          <w:sz w:val="28"/>
          <w:szCs w:val="28"/>
        </w:rPr>
      </w:pPr>
      <w:bookmarkStart w:id="11" w:name="_Toc121991981"/>
      <w:r>
        <w:rPr>
          <w:rFonts w:ascii="Times New Roman Regular" w:hAnsi="Times New Roman Regular" w:eastAsia="宋体" w:cs="Times New Roman Regular"/>
          <w:b w:val="0"/>
          <w:sz w:val="28"/>
          <w:szCs w:val="28"/>
        </w:rPr>
        <w:t>4.1.1  采样</w:t>
      </w:r>
      <w:bookmarkEnd w:id="11"/>
    </w:p>
    <w:p>
      <w:pPr>
        <w:pStyle w:val="4"/>
        <w:spacing w:line="360" w:lineRule="auto"/>
        <w:ind w:firstLine="560" w:firstLineChars="200"/>
        <w:rPr>
          <w:rFonts w:hint="eastAsia" w:ascii="Times New Roman Regular" w:hAnsi="Times New Roman Regular" w:eastAsia="宋体" w:cs="Times New Roman Regular"/>
          <w:sz w:val="28"/>
          <w:szCs w:val="28"/>
        </w:rPr>
      </w:pPr>
      <w:bookmarkStart w:id="12" w:name="_Toc121991982"/>
      <w:r>
        <w:rPr>
          <w:rFonts w:ascii="Times New Roman Regular" w:hAnsi="Times New Roman Regular" w:eastAsia="宋体" w:cs="Times New Roman Regular"/>
          <w:sz w:val="28"/>
          <w:szCs w:val="28"/>
          <w:lang w:eastAsia="zh-Hans"/>
        </w:rPr>
        <w:t>根据</w:t>
      </w:r>
      <w:r>
        <w:rPr>
          <w:rFonts w:ascii="Times New Roman Regular" w:hAnsi="Times New Roman Regular" w:eastAsia="宋体" w:cs="Times New Roman Regular"/>
          <w:sz w:val="28"/>
          <w:szCs w:val="28"/>
        </w:rPr>
        <w:t>基准样确定的拼配比例的各级茶样，</w:t>
      </w:r>
      <w:r>
        <w:rPr>
          <w:rFonts w:ascii="Times New Roman Regular" w:hAnsi="Times New Roman Regular" w:eastAsia="宋体" w:cs="Times New Roman Regular"/>
          <w:sz w:val="28"/>
          <w:szCs w:val="28"/>
          <w:lang w:eastAsia="zh-Hans"/>
        </w:rPr>
        <w:t>按照</w:t>
      </w:r>
      <w:r>
        <w:rPr>
          <w:rFonts w:ascii="Times New Roman Regular" w:hAnsi="Times New Roman Regular" w:eastAsia="宋体" w:cs="Times New Roman Regular"/>
          <w:sz w:val="28"/>
          <w:szCs w:val="28"/>
        </w:rPr>
        <w:t>需求确定数量，由供样单位对照</w:t>
      </w:r>
      <w:r>
        <w:rPr>
          <w:rFonts w:ascii="Times New Roman Regular" w:hAnsi="Times New Roman Regular" w:eastAsia="宋体" w:cs="Times New Roman Regular"/>
          <w:sz w:val="28"/>
          <w:szCs w:val="28"/>
          <w:lang w:eastAsia="zh-Hans"/>
        </w:rPr>
        <w:t>备份</w:t>
      </w:r>
      <w:r>
        <w:rPr>
          <w:rFonts w:ascii="Times New Roman Regular" w:hAnsi="Times New Roman Regular" w:eastAsia="宋体" w:cs="Times New Roman Regular"/>
          <w:sz w:val="28"/>
          <w:szCs w:val="28"/>
        </w:rPr>
        <w:t>样提供同品质的茶样。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4.1.2  检验</w:t>
      </w:r>
      <w:bookmarkEnd w:id="12"/>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lang w:eastAsia="zh-Hans"/>
        </w:rPr>
      </w:pPr>
      <w:bookmarkStart w:id="13" w:name="_Toc121991985"/>
      <w:bookmarkStart w:id="14" w:name="_Toc121930069"/>
      <w:r>
        <w:rPr>
          <w:rFonts w:ascii="Times New Roman Regular" w:hAnsi="Times New Roman Regular" w:eastAsia="宋体" w:cs="Times New Roman Regular"/>
          <w:sz w:val="28"/>
          <w:szCs w:val="28"/>
        </w:rPr>
        <w:t>对供样单位提供的样品</w:t>
      </w:r>
      <w:r>
        <w:rPr>
          <w:rFonts w:ascii="Times New Roman Regular" w:hAnsi="Times New Roman Regular" w:eastAsia="宋体" w:cs="Times New Roman Regular"/>
          <w:sz w:val="28"/>
          <w:szCs w:val="28"/>
          <w:lang w:eastAsia="zh-Hans"/>
        </w:rPr>
        <w:t>按</w:t>
      </w:r>
      <w:r>
        <w:rPr>
          <w:rFonts w:ascii="Times New Roman Regular" w:hAnsi="Times New Roman Regular" w:eastAsia="宋体" w:cs="Times New Roman Regular"/>
          <w:sz w:val="28"/>
          <w:szCs w:val="28"/>
        </w:rPr>
        <w:t>GB 5009.3</w:t>
      </w:r>
      <w:r>
        <w:rPr>
          <w:rFonts w:ascii="Times New Roman Regular" w:hAnsi="Times New Roman Regular" w:eastAsia="宋体" w:cs="Times New Roman Regular"/>
          <w:sz w:val="28"/>
          <w:szCs w:val="28"/>
          <w:lang w:eastAsia="zh-Hans"/>
        </w:rPr>
        <w:t>和GB/T 23776的方法、对照DB32/T 1682标准要求进行水分检测和感官审评。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4.2  制作</w:t>
      </w:r>
      <w:bookmarkEnd w:id="13"/>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4.2.1  基本流程</w:t>
      </w:r>
      <w:bookmarkEnd w:id="14"/>
      <w:r>
        <w:rPr>
          <w:rFonts w:ascii="Times New Roman Regular" w:hAnsi="Times New Roman Regular" w:eastAsia="宋体" w:cs="Times New Roman Regular"/>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复火-小样</w:t>
      </w:r>
      <w:r>
        <w:rPr>
          <w:rFonts w:ascii="Times New Roman Regular" w:hAnsi="Times New Roman Regular" w:eastAsia="宋体" w:cs="Times New Roman Regular"/>
          <w:sz w:val="28"/>
          <w:szCs w:val="28"/>
          <w:lang w:eastAsia="zh-Hans"/>
        </w:rPr>
        <w:t>制作</w:t>
      </w:r>
      <w:r>
        <w:rPr>
          <w:rFonts w:ascii="Times New Roman Regular" w:hAnsi="Times New Roman Regular" w:eastAsia="宋体" w:cs="Times New Roman Regular"/>
          <w:sz w:val="28"/>
          <w:szCs w:val="28"/>
        </w:rPr>
        <w:t>-大样</w:t>
      </w:r>
      <w:r>
        <w:rPr>
          <w:rFonts w:ascii="Times New Roman Regular" w:hAnsi="Times New Roman Regular" w:eastAsia="宋体" w:cs="Times New Roman Regular"/>
          <w:sz w:val="28"/>
          <w:szCs w:val="28"/>
          <w:lang w:eastAsia="zh-Hans"/>
        </w:rPr>
        <w:t>拼配</w:t>
      </w:r>
      <w:r>
        <w:rPr>
          <w:rFonts w:ascii="Times New Roman Regular" w:hAnsi="Times New Roman Regular" w:eastAsia="宋体" w:cs="Times New Roman Regular"/>
          <w:sz w:val="28"/>
          <w:szCs w:val="28"/>
        </w:rPr>
        <w:t>-大样审评。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Regular" w:hAnsi="Times New Roman Regular" w:eastAsia="宋体" w:cs="Times New Roman Regular"/>
          <w:sz w:val="28"/>
          <w:szCs w:val="28"/>
          <w:lang w:val="en-US" w:eastAsia="zh-Hans"/>
        </w:rPr>
      </w:pPr>
      <w:r>
        <w:rPr>
          <w:rFonts w:hint="default" w:ascii="Times New Roman Regular" w:hAnsi="Times New Roman Regular" w:eastAsia="宋体" w:cs="Times New Roman Regular"/>
          <w:sz w:val="28"/>
          <w:szCs w:val="28"/>
        </w:rPr>
        <w:t>4</w:t>
      </w:r>
      <w:r>
        <w:rPr>
          <w:rFonts w:hint="eastAsia" w:ascii="Times New Roman Regular" w:hAnsi="Times New Roman Regular" w:eastAsia="宋体" w:cs="Times New Roman Regular"/>
          <w:sz w:val="28"/>
          <w:szCs w:val="28"/>
        </w:rPr>
        <w:t xml:space="preserve">.2.2 </w:t>
      </w:r>
      <w:r>
        <w:rPr>
          <w:rFonts w:ascii="Times New Roman Regular" w:hAnsi="Times New Roman Regular" w:eastAsia="宋体" w:cs="Times New Roman Regular"/>
          <w:sz w:val="28"/>
          <w:szCs w:val="28"/>
        </w:rPr>
        <w:t xml:space="preserve"> </w:t>
      </w:r>
      <w:r>
        <w:rPr>
          <w:rFonts w:hint="eastAsia" w:ascii="Times New Roman Regular" w:hAnsi="Times New Roman Regular" w:eastAsia="宋体" w:cs="Times New Roman Regular"/>
          <w:sz w:val="28"/>
          <w:szCs w:val="28"/>
          <w:lang w:val="en-US" w:eastAsia="zh-Hans"/>
        </w:rPr>
        <w:t>复火</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Times New Roman Regular" w:hAnsi="Times New Roman Regular" w:eastAsia="宋体" w:cs="Times New Roman Regular"/>
          <w:sz w:val="28"/>
          <w:szCs w:val="28"/>
        </w:rPr>
      </w:pPr>
      <w:r>
        <w:rPr>
          <w:rFonts w:hint="eastAsia" w:ascii="Times New Roman Regular" w:hAnsi="Times New Roman Regular" w:eastAsia="宋体" w:cs="Times New Roman Regular"/>
          <w:sz w:val="28"/>
          <w:szCs w:val="28"/>
        </w:rPr>
        <w:t>对采集的每份茶样分别复火，分别取样供小样制作。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4.2.</w:t>
      </w:r>
      <w:r>
        <w:rPr>
          <w:rFonts w:hint="default" w:ascii="Times New Roman Regular" w:hAnsi="Times New Roman Regular" w:eastAsia="宋体" w:cs="Times New Roman Regular"/>
          <w:sz w:val="28"/>
          <w:szCs w:val="28"/>
        </w:rPr>
        <w:t>3</w:t>
      </w:r>
      <w:r>
        <w:rPr>
          <w:rFonts w:ascii="Times New Roman Regular" w:hAnsi="Times New Roman Regular" w:eastAsia="宋体" w:cs="Times New Roman Regular"/>
          <w:sz w:val="28"/>
          <w:szCs w:val="28"/>
        </w:rPr>
        <w:t xml:space="preserve">  小样制作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根据基准样拼配比例试拼小样，审评后适当调整。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4.2.</w:t>
      </w:r>
      <w:r>
        <w:rPr>
          <w:rFonts w:hint="default" w:ascii="Times New Roman Regular" w:hAnsi="Times New Roman Regular" w:eastAsia="宋体" w:cs="Times New Roman Regular"/>
          <w:sz w:val="28"/>
          <w:szCs w:val="28"/>
        </w:rPr>
        <w:t>4</w:t>
      </w:r>
      <w:r>
        <w:rPr>
          <w:rFonts w:ascii="Times New Roman Regular" w:hAnsi="Times New Roman Regular" w:eastAsia="宋体" w:cs="Times New Roman Regular"/>
          <w:sz w:val="28"/>
          <w:szCs w:val="28"/>
        </w:rPr>
        <w:t xml:space="preserve">  大堆拼配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bookmarkStart w:id="15" w:name="_Toc121991986"/>
      <w:bookmarkStart w:id="16" w:name="_Toc121991987"/>
      <w:r>
        <w:rPr>
          <w:rFonts w:ascii="Times New Roman Regular" w:hAnsi="Times New Roman Regular" w:eastAsia="宋体" w:cs="Times New Roman Regular"/>
          <w:sz w:val="28"/>
          <w:szCs w:val="28"/>
        </w:rPr>
        <w:t>按照小样制作获得的原料比例进行均匀拼配。</w:t>
      </w:r>
    </w:p>
    <w:bookmarkEnd w:id="15"/>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4.2.</w:t>
      </w:r>
      <w:r>
        <w:rPr>
          <w:rFonts w:hint="default" w:ascii="Times New Roman Regular" w:hAnsi="Times New Roman Regular" w:eastAsia="宋体" w:cs="Times New Roman Regular"/>
          <w:sz w:val="28"/>
          <w:szCs w:val="28"/>
        </w:rPr>
        <w:t>5</w:t>
      </w:r>
      <w:r>
        <w:rPr>
          <w:rFonts w:ascii="Times New Roman Regular" w:hAnsi="Times New Roman Regular" w:eastAsia="宋体" w:cs="Times New Roman Regular"/>
          <w:sz w:val="28"/>
          <w:szCs w:val="28"/>
        </w:rPr>
        <w:t>大样审评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lang w:eastAsia="zh-Hans"/>
        </w:rPr>
        <w:t>对照DB32/T 1682要求和</w:t>
      </w:r>
      <w:r>
        <w:rPr>
          <w:rFonts w:ascii="Times New Roman Regular" w:hAnsi="Times New Roman Regular" w:eastAsia="宋体" w:cs="Times New Roman Regular"/>
          <w:sz w:val="28"/>
          <w:szCs w:val="28"/>
        </w:rPr>
        <w:t>基准样进行大样审评。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5  包装与标识</w:t>
      </w:r>
      <w:bookmarkEnd w:id="16"/>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bookmarkStart w:id="17" w:name="_Toc121991988"/>
      <w:r>
        <w:rPr>
          <w:rFonts w:ascii="Times New Roman Regular" w:hAnsi="Times New Roman Regular" w:eastAsia="宋体" w:cs="Times New Roman Regular"/>
          <w:sz w:val="28"/>
          <w:szCs w:val="28"/>
        </w:rPr>
        <w:t>5.1  包装</w:t>
      </w:r>
      <w:bookmarkEnd w:id="17"/>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使用密封性能良好符合GH/T 1070要求的铁罐，包装应严密、无泄露。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bookmarkStart w:id="18" w:name="_Toc121991989"/>
      <w:r>
        <w:rPr>
          <w:rFonts w:ascii="Times New Roman Regular" w:hAnsi="Times New Roman Regular" w:eastAsia="宋体" w:cs="Times New Roman Regular"/>
          <w:sz w:val="28"/>
          <w:szCs w:val="28"/>
        </w:rPr>
        <w:t>5.2  标签与标识</w:t>
      </w:r>
      <w:bookmarkEnd w:id="18"/>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ab/>
      </w:r>
      <w:r>
        <w:rPr>
          <w:rFonts w:ascii="Times New Roman Regular" w:hAnsi="Times New Roman Regular" w:eastAsia="宋体" w:cs="Times New Roman Regular"/>
          <w:sz w:val="28"/>
          <w:szCs w:val="28"/>
        </w:rPr>
        <w:t>实物标准样包装上应加贴标签和封签，注明茶叶名称、数量、标准名称、标准代号、适用范围、样品的编号和批号，制作单位和主管单位。封签上须加盖制作单位公章，注明封装日期。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bookmarkStart w:id="19" w:name="_Toc121991990"/>
      <w:r>
        <w:rPr>
          <w:rFonts w:ascii="Times New Roman Regular" w:hAnsi="Times New Roman Regular" w:eastAsia="宋体" w:cs="Times New Roman Regular"/>
          <w:sz w:val="28"/>
          <w:szCs w:val="28"/>
        </w:rPr>
        <w:t>6  证书</w:t>
      </w:r>
      <w:bookmarkEnd w:id="19"/>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实物标准样证书内容按GB/T15000.4执行。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bookmarkStart w:id="20" w:name="_Toc121991991"/>
      <w:r>
        <w:rPr>
          <w:rFonts w:ascii="Times New Roman Regular" w:hAnsi="Times New Roman Regular" w:eastAsia="宋体" w:cs="Times New Roman Regular"/>
          <w:sz w:val="28"/>
          <w:szCs w:val="28"/>
        </w:rPr>
        <w:t>7  有效期</w:t>
      </w:r>
      <w:bookmarkEnd w:id="20"/>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绿杨春茶实物标准样有效期为5年。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bookmarkStart w:id="21" w:name="_Toc121991992"/>
      <w:r>
        <w:rPr>
          <w:rFonts w:ascii="Times New Roman Regular" w:hAnsi="Times New Roman Regular" w:eastAsia="宋体" w:cs="Times New Roman Regular"/>
          <w:sz w:val="28"/>
          <w:szCs w:val="28"/>
        </w:rPr>
        <w:t>8  使用和保管</w:t>
      </w:r>
      <w:bookmarkEnd w:id="21"/>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符合DB32/T 1682的相关要求。</w:t>
      </w:r>
    </w:p>
    <w:p>
      <w:pPr>
        <w:autoSpaceDE w:val="0"/>
        <w:autoSpaceDN w:val="0"/>
        <w:adjustRightInd w:val="0"/>
        <w:spacing w:line="360" w:lineRule="auto"/>
        <w:ind w:firstLine="600" w:firstLineChars="200"/>
        <w:jc w:val="left"/>
        <w:rPr>
          <w:rFonts w:hint="eastAsia" w:ascii="黑体" w:hAnsi="黑体" w:eastAsia="黑体" w:cs="黑体"/>
          <w:sz w:val="30"/>
          <w:szCs w:val="30"/>
        </w:rPr>
      </w:pPr>
      <w:r>
        <w:rPr>
          <w:rFonts w:hint="eastAsia" w:ascii="黑体" w:hAnsi="黑体" w:eastAsia="黑体" w:cs="黑体"/>
          <w:sz w:val="30"/>
          <w:szCs w:val="30"/>
          <w:lang w:eastAsia="zh-Hans"/>
        </w:rPr>
        <w:t>五、</w:t>
      </w:r>
      <w:r>
        <w:rPr>
          <w:rFonts w:hint="eastAsia" w:ascii="黑体" w:hAnsi="黑体" w:eastAsia="黑体" w:cs="黑体"/>
          <w:sz w:val="30"/>
          <w:szCs w:val="30"/>
        </w:rPr>
        <w:t>重大分歧意见的处理过程和依据</w:t>
      </w:r>
    </w:p>
    <w:p>
      <w:pPr>
        <w:spacing w:line="360" w:lineRule="auto"/>
        <w:ind w:firstLine="560" w:firstLineChars="200"/>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无。</w:t>
      </w:r>
    </w:p>
    <w:bookmarkEnd w:id="3"/>
    <w:p>
      <w:pPr>
        <w:autoSpaceDE w:val="0"/>
        <w:autoSpaceDN w:val="0"/>
        <w:adjustRightInd w:val="0"/>
        <w:spacing w:line="360" w:lineRule="auto"/>
        <w:ind w:firstLine="600" w:firstLineChars="200"/>
        <w:jc w:val="left"/>
        <w:rPr>
          <w:rFonts w:hint="eastAsia" w:ascii="黑体" w:hAnsi="黑体" w:eastAsia="黑体" w:cs="黑体"/>
          <w:sz w:val="30"/>
          <w:szCs w:val="30"/>
        </w:rPr>
      </w:pPr>
      <w:r>
        <w:rPr>
          <w:rFonts w:ascii="黑体" w:hAnsi="黑体" w:eastAsia="黑体" w:cs="黑体"/>
          <w:sz w:val="30"/>
          <w:szCs w:val="30"/>
          <w:lang w:eastAsia="zh-Hans"/>
        </w:rPr>
        <w:t>六、</w:t>
      </w:r>
      <w:r>
        <w:rPr>
          <w:rFonts w:ascii="黑体" w:hAnsi="黑体" w:eastAsia="黑体" w:cs="黑体"/>
          <w:sz w:val="30"/>
          <w:szCs w:val="30"/>
        </w:rPr>
        <w:t>与相关法律法规和国家标准的关系</w:t>
      </w:r>
    </w:p>
    <w:p>
      <w:pPr>
        <w:spacing w:line="360" w:lineRule="auto"/>
        <w:ind w:firstLine="560" w:firstLineChars="200"/>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本标准的编制未违反国家的法律法规，与目前国家标准，行业标准内容没有完全相同的地方。在制定该标准的过程中我们部分参照《DB32/T 1682绿杨春茶茶叶加工技术规程》作为依据，对绿杨春茶实物样制作规范进行修订。随着现在技术的改进与消费者的要求不断提高，我们在生产实践过程中不断探索、创新和补充，修定了该标准。</w:t>
      </w:r>
    </w:p>
    <w:p>
      <w:pPr>
        <w:autoSpaceDE w:val="0"/>
        <w:autoSpaceDN w:val="0"/>
        <w:adjustRightInd w:val="0"/>
        <w:spacing w:line="360" w:lineRule="auto"/>
        <w:ind w:firstLine="600" w:firstLineChars="200"/>
        <w:jc w:val="left"/>
        <w:rPr>
          <w:rFonts w:hint="eastAsia" w:ascii="黑体" w:hAnsi="黑体" w:eastAsia="黑体" w:cs="黑体"/>
          <w:sz w:val="30"/>
          <w:szCs w:val="30"/>
        </w:rPr>
      </w:pPr>
      <w:r>
        <w:rPr>
          <w:rFonts w:ascii="黑体" w:hAnsi="黑体" w:eastAsia="黑体" w:cs="黑体"/>
          <w:sz w:val="30"/>
          <w:szCs w:val="30"/>
          <w:lang w:eastAsia="zh-Hans"/>
        </w:rPr>
        <w:t>七</w:t>
      </w:r>
      <w:r>
        <w:rPr>
          <w:rFonts w:ascii="黑体" w:hAnsi="黑体" w:eastAsia="黑体" w:cs="黑体"/>
          <w:sz w:val="30"/>
          <w:szCs w:val="30"/>
        </w:rPr>
        <w:t>、实施推广建议</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通过本标准的修订及推广应用，使扬州地区绿杨春茶绿杨春茶实物样制作有规可循，确保提高绿杨春茶的产量与质量，为规模化生产，提供技术支撑。本标准通过审查后，建议作为推荐性地方标准发布实施。</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同时推广过程中，我们需要突出以下几点：</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1、召开相关会议进行宣传学习本标准的内容和精神，宣传执行标准的目的意义。</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2、加强对有关人员的标准培训，掌握各个环节的技术要求和操作要领。</w:t>
      </w:r>
    </w:p>
    <w:p>
      <w:pPr>
        <w:widowControl/>
        <w:spacing w:line="360" w:lineRule="auto"/>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3、加强标准的执行推广，继续采取走出去、请进来的方法，在生产中学习、实践中运用，在运用中不断提高完善。</w:t>
      </w:r>
    </w:p>
    <w:p>
      <w:pPr>
        <w:autoSpaceDE w:val="0"/>
        <w:autoSpaceDN w:val="0"/>
        <w:adjustRightInd w:val="0"/>
        <w:spacing w:line="360" w:lineRule="auto"/>
        <w:ind w:firstLine="600" w:firstLineChars="200"/>
        <w:jc w:val="left"/>
        <w:rPr>
          <w:rFonts w:hint="eastAsia" w:ascii="黑体" w:hAnsi="黑体" w:eastAsia="黑体" w:cs="黑体"/>
          <w:sz w:val="30"/>
          <w:szCs w:val="30"/>
        </w:rPr>
      </w:pPr>
      <w:r>
        <w:rPr>
          <w:rFonts w:ascii="黑体" w:hAnsi="黑体" w:eastAsia="黑体" w:cs="黑体"/>
          <w:sz w:val="30"/>
          <w:szCs w:val="30"/>
          <w:lang w:eastAsia="zh-Hans"/>
        </w:rPr>
        <w:t>八</w:t>
      </w:r>
      <w:r>
        <w:rPr>
          <w:rFonts w:ascii="黑体" w:hAnsi="黑体" w:eastAsia="黑体" w:cs="黑体"/>
          <w:sz w:val="30"/>
          <w:szCs w:val="30"/>
        </w:rPr>
        <w:t>、起草单位及起草人员信息</w:t>
      </w:r>
    </w:p>
    <w:p>
      <w:pPr>
        <w:spacing w:line="360" w:lineRule="auto"/>
        <w:ind w:firstLine="560" w:firstLineChars="200"/>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主要承担单位：仪征市绿杨春茶叶行业协会</w:t>
      </w:r>
    </w:p>
    <w:p>
      <w:pPr>
        <w:spacing w:line="360" w:lineRule="auto"/>
        <w:ind w:firstLine="560" w:firstLineChars="200"/>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申报单位仪征市绿杨春茶叶行业协会</w:t>
      </w:r>
      <w:r>
        <w:rPr>
          <w:rFonts w:hint="eastAsia" w:ascii="Times New Roman Regular" w:hAnsi="Times New Roman Regular" w:eastAsia="宋体" w:cs="Times New Roman Regular"/>
          <w:sz w:val="28"/>
          <w:szCs w:val="28"/>
        </w:rPr>
        <w:t>成立于1999年11月24日，目前协会会员单位70个，涉及茶叶种植经营户 5000多户，会员单位拥有固定资产8千多万元，茶叶种植面积占全市茶叶面积90﹪，覆盖全市所有产茶乡镇，同时引进了白茶和黄金芽等新品种</w:t>
      </w:r>
      <w:r>
        <w:rPr>
          <w:rFonts w:hint="eastAsia" w:ascii="Times New Roman Regular" w:hAnsi="Times New Roman Regular" w:eastAsia="宋体" w:cs="Times New Roman Regular"/>
          <w:sz w:val="28"/>
          <w:szCs w:val="28"/>
          <w:lang w:eastAsia="zh-Hans"/>
        </w:rPr>
        <w:t>。</w:t>
      </w:r>
      <w:r>
        <w:rPr>
          <w:rFonts w:hint="eastAsia" w:ascii="Times New Roman Regular" w:hAnsi="Times New Roman Regular" w:eastAsia="宋体" w:cs="Times New Roman Regular"/>
          <w:sz w:val="28"/>
          <w:szCs w:val="28"/>
        </w:rPr>
        <w:t>部分茶企已经研制出仪征红茶并获得市场好评。2003年协会被评为省级示范性协会，2005年获扬州市先进农民专业合作经济组织和江苏省农产品营销协会先进会员单位，2007年协会被列为全省50家重点考核专业合作组织之一，2011年荣获消费者最喜爱的中国农产品区域公用品牌，目前品牌价值达到15亿元，2021年在扬州世园会组织首届绿杨春手工茶制茶大赛并取得非常好的反响，当年通过并发布T/YZH003-2021《扬州红茶》团体标准。</w:t>
      </w:r>
    </w:p>
    <w:p>
      <w:pPr>
        <w:spacing w:line="360" w:lineRule="auto"/>
        <w:ind w:firstLine="560" w:firstLineChars="200"/>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2、起草人及其所承担的工作</w:t>
      </w:r>
    </w:p>
    <w:p>
      <w:pPr>
        <w:spacing w:line="360" w:lineRule="auto"/>
        <w:ind w:firstLine="560" w:firstLineChars="200"/>
        <w:rPr>
          <w:rFonts w:hint="eastAsia" w:ascii="Times New Roman Regular" w:hAnsi="Times New Roman Regular" w:eastAsia="宋体" w:cs="Times New Roman Regular"/>
          <w:sz w:val="28"/>
          <w:szCs w:val="28"/>
          <w:lang w:eastAsia="zh-Hans"/>
        </w:rPr>
      </w:pPr>
      <w:r>
        <w:rPr>
          <w:rFonts w:ascii="Times New Roman Regular" w:hAnsi="Times New Roman Regular" w:eastAsia="宋体" w:cs="Times New Roman Regular"/>
          <w:sz w:val="28"/>
          <w:szCs w:val="28"/>
        </w:rPr>
        <w:t>本标准主要起草人：</w:t>
      </w:r>
      <w:r>
        <w:rPr>
          <w:rFonts w:hint="eastAsia" w:ascii="Times New Roman Regular" w:hAnsi="Times New Roman Regular" w:eastAsia="宋体" w:cs="Times New Roman Regular"/>
          <w:sz w:val="28"/>
          <w:szCs w:val="28"/>
        </w:rPr>
        <w:t>姚满昌、潘巨兵、张春、赵长涛、张鹏、夏军、张宏金</w:t>
      </w:r>
      <w:r>
        <w:rPr>
          <w:rFonts w:hint="eastAsia" w:ascii="Times New Roman Regular" w:hAnsi="Times New Roman Regular" w:eastAsia="宋体" w:cs="Times New Roman Regular"/>
          <w:sz w:val="28"/>
          <w:szCs w:val="28"/>
          <w:lang w:eastAsia="zh-Hans"/>
        </w:rPr>
        <w:t>。</w:t>
      </w:r>
    </w:p>
    <w:p>
      <w:pPr>
        <w:spacing w:line="360" w:lineRule="auto"/>
        <w:ind w:firstLine="560" w:firstLineChars="200"/>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本标准第一起草人</w:t>
      </w:r>
      <w:r>
        <w:rPr>
          <w:rFonts w:hint="eastAsia" w:ascii="Times New Roman Regular" w:hAnsi="Times New Roman Regular" w:eastAsia="宋体" w:cs="Times New Roman Regular"/>
          <w:sz w:val="28"/>
          <w:szCs w:val="28"/>
        </w:rPr>
        <w:t>姚满昌</w:t>
      </w:r>
      <w:r>
        <w:rPr>
          <w:rFonts w:ascii="Times New Roman Regular" w:hAnsi="Times New Roman Regular" w:eastAsia="宋体" w:cs="Times New Roman Regular"/>
          <w:sz w:val="28"/>
          <w:szCs w:val="28"/>
        </w:rPr>
        <w:t>，</w:t>
      </w:r>
      <w:r>
        <w:rPr>
          <w:rFonts w:hint="eastAsia" w:ascii="Times New Roman Regular" w:hAnsi="Times New Roman Regular" w:eastAsia="宋体" w:cs="Times New Roman Regular"/>
          <w:sz w:val="28"/>
          <w:szCs w:val="28"/>
        </w:rPr>
        <w:t>仪征市农业技术综合服务中心园艺科推广研究员，1996年参加工作，参与引进、试验示范设施蔬菜栽培技术等各种栽培技术20多项。工作期间在省级以上刊物以第一作者发表论文30多篇，主持制定蔬菜（食用菌）、茶叶等省标准多项。主持申报“仪征紫菜薹”农产品地理标志获农业部农产品地理标识认定，积极推广水稻+紫菜薹、林下种植紫菜薹等模式共万亩，产值达亿元。</w:t>
      </w:r>
    </w:p>
    <w:p>
      <w:pPr>
        <w:spacing w:line="360" w:lineRule="auto"/>
        <w:ind w:firstLine="560" w:firstLineChars="200"/>
        <w:rPr>
          <w:rFonts w:hint="eastAsia" w:ascii="Times New Roman Regular" w:hAnsi="Times New Roman Regular" w:eastAsia="宋体" w:cs="Times New Roman Regular"/>
          <w:sz w:val="28"/>
          <w:szCs w:val="28"/>
        </w:rPr>
      </w:pPr>
      <w:r>
        <w:rPr>
          <w:rFonts w:hint="eastAsia" w:ascii="Times New Roman Regular" w:hAnsi="Times New Roman Regular" w:eastAsia="宋体" w:cs="Times New Roman Regular"/>
          <w:sz w:val="28"/>
          <w:szCs w:val="28"/>
        </w:rPr>
        <w:t>为了做好省级“茶果”示范园创建工作，做好扬州“绿杨春”茶生态、文化、富民工程。组织规划申报示范园并制定茶叶发展扶持政策，组织多项活动宣传“绿杨春”,在扬州世界园艺博览会国际馆组织扬州市首届“绿杨春”手工制茶、仪征市第七届名茶评比大赛，成功申报了“绿杨春”为江苏省区域公共品牌,“绿杨春”茶叶为江苏省特色农产品优势区，现品牌价植为10.69个亿，一二三产融合发展产值达10个多亿。</w:t>
      </w:r>
    </w:p>
    <w:p>
      <w:pPr>
        <w:spacing w:line="360" w:lineRule="auto"/>
        <w:ind w:firstLine="560" w:firstLineChars="200"/>
        <w:rPr>
          <w:rFonts w:hint="eastAsia" w:ascii="Times New Roman Regular" w:hAnsi="Times New Roman Regular" w:eastAsia="宋体" w:cs="Times New Roman Regular"/>
          <w:sz w:val="28"/>
          <w:szCs w:val="28"/>
        </w:rPr>
      </w:pPr>
      <w:r>
        <w:rPr>
          <w:rFonts w:ascii="Times New Roman Regular" w:hAnsi="Times New Roman Regular" w:eastAsia="宋体" w:cs="Times New Roman Regular"/>
          <w:sz w:val="28"/>
          <w:szCs w:val="28"/>
        </w:rPr>
        <w:t>起草人员负责标准制定工作的组织、协调，相关资料的查阅、收集，标准文本及编制说明的起草、撰写，组织开展相关项目指标的检测验证工作，组织召开研讨会，通过面谈、电子邮件、传真、电话等方式，征集、整理和归纳相关的意见和建议，在行业内征求意见和标准送审等。</w:t>
      </w:r>
    </w:p>
    <w:p>
      <w:pPr>
        <w:spacing w:line="540" w:lineRule="exact"/>
        <w:ind w:firstLine="572" w:firstLineChars="200"/>
        <w:rPr>
          <w:rFonts w:hint="eastAsia" w:ascii="Times New Roman Regular" w:hAnsi="Times New Roman Regular" w:eastAsia="宋体" w:cs="Times New Roman Regular"/>
          <w:snapToGrid w:val="0"/>
          <w:color w:val="000000"/>
          <w:spacing w:val="3"/>
          <w:kern w:val="0"/>
          <w:sz w:val="28"/>
          <w:szCs w:val="28"/>
          <w:lang w:bidi="ar"/>
        </w:rPr>
      </w:pPr>
      <w:r>
        <w:rPr>
          <w:rFonts w:ascii="Times New Roman Regular" w:hAnsi="Times New Roman Regular" w:eastAsia="宋体" w:cs="Times New Roman Regular"/>
          <w:snapToGrid w:val="0"/>
          <w:color w:val="000000"/>
          <w:spacing w:val="3"/>
          <w:kern w:val="0"/>
          <w:sz w:val="28"/>
          <w:szCs w:val="28"/>
          <w:lang w:bidi="ar"/>
        </w:rPr>
        <w:t>主要起草人员分工：</w:t>
      </w:r>
    </w:p>
    <w:tbl>
      <w:tblPr>
        <w:tblStyle w:val="23"/>
        <w:tblW w:w="870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7"/>
        <w:gridCol w:w="1138"/>
        <w:gridCol w:w="3223"/>
        <w:gridCol w:w="1382"/>
        <w:gridCol w:w="2221"/>
      </w:tblGrid>
      <w:tr>
        <w:trPr>
          <w:trHeight w:val="885" w:hRule="atLeast"/>
          <w:jc w:val="center"/>
        </w:trPr>
        <w:tc>
          <w:tcPr>
            <w:tcW w:w="737" w:type="dxa"/>
            <w:tcBorders>
              <w:top w:val="single" w:color="000000" w:sz="2" w:space="0"/>
              <w:left w:val="single" w:color="000000" w:sz="2" w:space="0"/>
              <w:bottom w:val="single" w:color="000000" w:sz="2" w:space="0"/>
              <w:right w:val="single" w:color="000000" w:sz="2" w:space="0"/>
            </w:tcBorders>
          </w:tcPr>
          <w:p>
            <w:pPr>
              <w:widowControl/>
              <w:kinsoku w:val="0"/>
              <w:autoSpaceDE w:val="0"/>
              <w:autoSpaceDN w:val="0"/>
              <w:adjustRightInd w:val="0"/>
              <w:snapToGrid w:val="0"/>
              <w:spacing w:before="325" w:line="201" w:lineRule="auto"/>
              <w:ind w:right="55" w:rightChars="26"/>
              <w:jc w:val="center"/>
              <w:rPr>
                <w:rFonts w:hint="eastAsia" w:ascii="Times New Roman Regular" w:hAnsi="Times New Roman Regular" w:eastAsia="微软雅黑" w:cs="Times New Roman Regular"/>
                <w:sz w:val="24"/>
                <w:szCs w:val="24"/>
              </w:rPr>
            </w:pPr>
            <w:r>
              <w:rPr>
                <w:rFonts w:ascii="Times New Roman Regular" w:hAnsi="Times New Roman Regular" w:eastAsia="微软雅黑" w:cs="Times New Roman Regular"/>
                <w:color w:val="000000"/>
                <w:spacing w:val="-6"/>
                <w:kern w:val="0"/>
                <w:sz w:val="24"/>
                <w:szCs w:val="24"/>
                <w:lang w:bidi="ar"/>
              </w:rPr>
              <w:t>序</w:t>
            </w:r>
            <w:r>
              <w:rPr>
                <w:rFonts w:ascii="Times New Roman Regular" w:hAnsi="Times New Roman Regular" w:eastAsia="微软雅黑" w:cs="Times New Roman Regular"/>
                <w:color w:val="000000"/>
                <w:spacing w:val="-4"/>
                <w:kern w:val="0"/>
                <w:sz w:val="24"/>
                <w:szCs w:val="24"/>
                <w:lang w:bidi="ar"/>
              </w:rPr>
              <w:t>号</w:t>
            </w:r>
          </w:p>
        </w:tc>
        <w:tc>
          <w:tcPr>
            <w:tcW w:w="1138" w:type="dxa"/>
            <w:tcBorders>
              <w:top w:val="single" w:color="000000" w:sz="2" w:space="0"/>
              <w:left w:val="single" w:color="000000" w:sz="2" w:space="0"/>
              <w:bottom w:val="single" w:color="000000" w:sz="2" w:space="0"/>
              <w:right w:val="single" w:color="000000" w:sz="2" w:space="0"/>
            </w:tcBorders>
          </w:tcPr>
          <w:p>
            <w:pPr>
              <w:widowControl/>
              <w:kinsoku w:val="0"/>
              <w:autoSpaceDE w:val="0"/>
              <w:autoSpaceDN w:val="0"/>
              <w:adjustRightInd w:val="0"/>
              <w:snapToGrid w:val="0"/>
              <w:spacing w:before="326" w:line="201" w:lineRule="auto"/>
              <w:jc w:val="center"/>
              <w:rPr>
                <w:rFonts w:hint="eastAsia" w:ascii="Times New Roman Regular" w:hAnsi="Times New Roman Regular" w:eastAsia="微软雅黑" w:cs="Times New Roman Regular"/>
                <w:sz w:val="24"/>
                <w:szCs w:val="24"/>
              </w:rPr>
            </w:pPr>
            <w:r>
              <w:rPr>
                <w:rFonts w:ascii="Times New Roman Regular" w:hAnsi="Times New Roman Regular" w:eastAsia="微软雅黑" w:cs="Times New Roman Regular"/>
                <w:color w:val="000000"/>
                <w:spacing w:val="-5"/>
                <w:kern w:val="0"/>
                <w:sz w:val="24"/>
                <w:szCs w:val="24"/>
                <w:lang w:bidi="ar"/>
              </w:rPr>
              <w:t>姓</w:t>
            </w:r>
            <w:r>
              <w:rPr>
                <w:rFonts w:ascii="Times New Roman Regular" w:hAnsi="Times New Roman Regular" w:eastAsia="微软雅黑" w:cs="Times New Roman Regular"/>
                <w:color w:val="000000"/>
                <w:spacing w:val="-4"/>
                <w:kern w:val="0"/>
                <w:sz w:val="24"/>
                <w:szCs w:val="24"/>
                <w:lang w:bidi="ar"/>
              </w:rPr>
              <w:t>名</w:t>
            </w:r>
          </w:p>
        </w:tc>
        <w:tc>
          <w:tcPr>
            <w:tcW w:w="3223" w:type="dxa"/>
            <w:tcBorders>
              <w:top w:val="single" w:color="000000" w:sz="2" w:space="0"/>
              <w:left w:val="single" w:color="000000" w:sz="2" w:space="0"/>
              <w:bottom w:val="single" w:color="000000" w:sz="2" w:space="0"/>
              <w:right w:val="single" w:color="000000" w:sz="2" w:space="0"/>
            </w:tcBorders>
          </w:tcPr>
          <w:p>
            <w:pPr>
              <w:widowControl/>
              <w:kinsoku w:val="0"/>
              <w:autoSpaceDE w:val="0"/>
              <w:autoSpaceDN w:val="0"/>
              <w:adjustRightInd w:val="0"/>
              <w:snapToGrid w:val="0"/>
              <w:spacing w:before="326" w:line="201" w:lineRule="auto"/>
              <w:jc w:val="center"/>
              <w:rPr>
                <w:rFonts w:hint="eastAsia" w:ascii="Times New Roman Regular" w:hAnsi="Times New Roman Regular" w:eastAsia="微软雅黑" w:cs="Times New Roman Regular"/>
                <w:sz w:val="24"/>
                <w:szCs w:val="24"/>
              </w:rPr>
            </w:pPr>
            <w:r>
              <w:rPr>
                <w:rFonts w:ascii="Times New Roman Regular" w:hAnsi="Times New Roman Regular" w:eastAsia="微软雅黑" w:cs="Times New Roman Regular"/>
                <w:color w:val="000000"/>
                <w:spacing w:val="-5"/>
                <w:kern w:val="0"/>
                <w:sz w:val="24"/>
                <w:szCs w:val="24"/>
                <w:lang w:bidi="ar"/>
              </w:rPr>
              <w:t>单</w:t>
            </w:r>
            <w:r>
              <w:rPr>
                <w:rFonts w:ascii="Times New Roman Regular" w:hAnsi="Times New Roman Regular" w:eastAsia="微软雅黑" w:cs="Times New Roman Regular"/>
                <w:color w:val="000000"/>
                <w:spacing w:val="-4"/>
                <w:kern w:val="0"/>
                <w:sz w:val="24"/>
                <w:szCs w:val="24"/>
                <w:lang w:bidi="ar"/>
              </w:rPr>
              <w:t>位名称</w:t>
            </w:r>
          </w:p>
        </w:tc>
        <w:tc>
          <w:tcPr>
            <w:tcW w:w="1382" w:type="dxa"/>
            <w:tcBorders>
              <w:top w:val="single" w:color="000000" w:sz="2" w:space="0"/>
              <w:left w:val="single" w:color="000000" w:sz="2" w:space="0"/>
              <w:bottom w:val="single" w:color="000000" w:sz="2" w:space="0"/>
              <w:right w:val="single" w:color="000000" w:sz="2" w:space="0"/>
            </w:tcBorders>
          </w:tcPr>
          <w:p>
            <w:pPr>
              <w:widowControl/>
              <w:kinsoku w:val="0"/>
              <w:autoSpaceDE w:val="0"/>
              <w:autoSpaceDN w:val="0"/>
              <w:adjustRightInd w:val="0"/>
              <w:snapToGrid w:val="0"/>
              <w:spacing w:before="324" w:line="201" w:lineRule="auto"/>
              <w:jc w:val="center"/>
              <w:rPr>
                <w:rFonts w:hint="eastAsia" w:ascii="Times New Roman Regular" w:hAnsi="Times New Roman Regular" w:eastAsia="微软雅黑" w:cs="Times New Roman Regular"/>
                <w:sz w:val="24"/>
                <w:szCs w:val="24"/>
              </w:rPr>
            </w:pPr>
            <w:r>
              <w:rPr>
                <w:rFonts w:ascii="Times New Roman Regular" w:hAnsi="Times New Roman Regular" w:eastAsia="微软雅黑" w:cs="Times New Roman Regular"/>
                <w:color w:val="000000"/>
                <w:spacing w:val="-14"/>
                <w:kern w:val="0"/>
                <w:sz w:val="24"/>
                <w:szCs w:val="24"/>
                <w:lang w:bidi="ar"/>
              </w:rPr>
              <w:t>职</w:t>
            </w:r>
            <w:r>
              <w:rPr>
                <w:rFonts w:ascii="Times New Roman Regular" w:hAnsi="Times New Roman Regular" w:eastAsia="微软雅黑" w:cs="Times New Roman Regular"/>
                <w:color w:val="000000"/>
                <w:spacing w:val="-10"/>
                <w:kern w:val="0"/>
                <w:sz w:val="24"/>
                <w:szCs w:val="24"/>
                <w:lang w:bidi="ar"/>
              </w:rPr>
              <w:t>务/职称</w:t>
            </w:r>
          </w:p>
        </w:tc>
        <w:tc>
          <w:tcPr>
            <w:tcW w:w="2221"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4" w:line="194" w:lineRule="auto"/>
              <w:ind w:left="132" w:right="118" w:firstLine="1"/>
              <w:jc w:val="center"/>
              <w:rPr>
                <w:rFonts w:hint="eastAsia" w:ascii="Times New Roman Regular" w:hAnsi="Times New Roman Regular" w:eastAsia="微软雅黑" w:cs="Times New Roman Regular"/>
                <w:sz w:val="24"/>
                <w:szCs w:val="24"/>
              </w:rPr>
            </w:pPr>
            <w:r>
              <w:rPr>
                <w:rFonts w:ascii="Times New Roman Regular" w:hAnsi="Times New Roman Regular" w:eastAsia="微软雅黑" w:cs="Times New Roman Regular"/>
                <w:color w:val="000000"/>
                <w:spacing w:val="-9"/>
                <w:kern w:val="0"/>
                <w:sz w:val="24"/>
                <w:szCs w:val="24"/>
                <w:lang w:bidi="ar"/>
              </w:rPr>
              <w:t>工作</w:t>
            </w:r>
            <w:r>
              <w:rPr>
                <w:rFonts w:ascii="Times New Roman Regular" w:hAnsi="Times New Roman Regular" w:eastAsia="微软雅黑" w:cs="Times New Roman Regular"/>
                <w:color w:val="000000"/>
                <w:spacing w:val="-8"/>
                <w:kern w:val="0"/>
                <w:sz w:val="24"/>
                <w:szCs w:val="24"/>
                <w:lang w:bidi="ar"/>
              </w:rPr>
              <w:t>分</w:t>
            </w:r>
            <w:r>
              <w:rPr>
                <w:rFonts w:ascii="Times New Roman Regular" w:hAnsi="Times New Roman Regular" w:eastAsia="微软雅黑" w:cs="Times New Roman Regular"/>
                <w:color w:val="000000"/>
                <w:spacing w:val="-7"/>
                <w:kern w:val="0"/>
                <w:sz w:val="24"/>
                <w:szCs w:val="24"/>
                <w:lang w:bidi="ar"/>
              </w:rPr>
              <w:t>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0" w:hRule="atLeast"/>
          <w:jc w:val="center"/>
        </w:trPr>
        <w:tc>
          <w:tcPr>
            <w:tcW w:w="737"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1</w:t>
            </w:r>
          </w:p>
        </w:tc>
        <w:tc>
          <w:tcPr>
            <w:tcW w:w="1138"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sz w:val="24"/>
                <w:szCs w:val="24"/>
              </w:rPr>
            </w:pPr>
            <w:r>
              <w:rPr>
                <w:rFonts w:hint="eastAsia" w:ascii="宋体" w:hAnsi="宋体" w:eastAsia="宋体" w:cs="宋体"/>
                <w:color w:val="000000"/>
                <w:spacing w:val="-4"/>
                <w:sz w:val="24"/>
                <w:szCs w:val="24"/>
              </w:rPr>
              <w:t>姚满昌</w:t>
            </w:r>
          </w:p>
        </w:tc>
        <w:tc>
          <w:tcPr>
            <w:tcW w:w="3223"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仪征市农业农村局</w:t>
            </w:r>
          </w:p>
        </w:tc>
        <w:tc>
          <w:tcPr>
            <w:tcW w:w="1382"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sz w:val="24"/>
                <w:szCs w:val="24"/>
              </w:rPr>
            </w:pPr>
            <w:r>
              <w:rPr>
                <w:rFonts w:hint="eastAsia" w:ascii="Times New Roman Regular" w:hAnsi="Times New Roman Regular" w:eastAsia="宋体" w:cs="Times New Roman Regular"/>
                <w:sz w:val="24"/>
                <w:szCs w:val="24"/>
              </w:rPr>
              <w:t>推广研究员</w:t>
            </w:r>
          </w:p>
        </w:tc>
        <w:tc>
          <w:tcPr>
            <w:tcW w:w="2221"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主持，工作协调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0" w:hRule="atLeast"/>
          <w:jc w:val="center"/>
        </w:trPr>
        <w:tc>
          <w:tcPr>
            <w:tcW w:w="737"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2</w:t>
            </w:r>
          </w:p>
        </w:tc>
        <w:tc>
          <w:tcPr>
            <w:tcW w:w="1138"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宋体" w:hAnsi="宋体" w:eastAsia="宋体" w:cs="宋体"/>
                <w:color w:val="000000"/>
                <w:spacing w:val="-4"/>
                <w:sz w:val="24"/>
                <w:szCs w:val="24"/>
              </w:rPr>
              <w:t>潘巨兵</w:t>
            </w:r>
          </w:p>
        </w:tc>
        <w:tc>
          <w:tcPr>
            <w:tcW w:w="3223"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宋体" w:hAnsi="宋体" w:eastAsia="宋体" w:cs="宋体"/>
                <w:color w:val="000000"/>
                <w:spacing w:val="-4"/>
                <w:sz w:val="24"/>
                <w:szCs w:val="24"/>
              </w:rPr>
            </w:pPr>
            <w:r>
              <w:rPr>
                <w:rFonts w:ascii="宋体" w:hAnsi="宋体" w:eastAsia="宋体" w:cs="宋体"/>
                <w:color w:val="000000"/>
                <w:spacing w:val="-4"/>
                <w:sz w:val="24"/>
                <w:szCs w:val="24"/>
              </w:rPr>
              <w:t>仪征市大自然茶业有限公司</w:t>
            </w:r>
          </w:p>
        </w:tc>
        <w:tc>
          <w:tcPr>
            <w:tcW w:w="1382"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Times New Roman Regular" w:hAnsi="Times New Roman Regular" w:eastAsia="宋体" w:cs="Times New Roman Regular"/>
                <w:color w:val="000000"/>
                <w:kern w:val="0"/>
                <w:sz w:val="24"/>
                <w:szCs w:val="24"/>
                <w:lang w:bidi="ar"/>
              </w:rPr>
              <w:t>总经理</w:t>
            </w:r>
          </w:p>
        </w:tc>
        <w:tc>
          <w:tcPr>
            <w:tcW w:w="2221"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标准审核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0" w:hRule="atLeast"/>
          <w:jc w:val="center"/>
        </w:trPr>
        <w:tc>
          <w:tcPr>
            <w:tcW w:w="737"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3</w:t>
            </w:r>
          </w:p>
        </w:tc>
        <w:tc>
          <w:tcPr>
            <w:tcW w:w="1138"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color w:val="000000"/>
                <w:kern w:val="0"/>
                <w:sz w:val="24"/>
                <w:szCs w:val="24"/>
                <w:lang w:bidi="ar"/>
              </w:rPr>
            </w:pPr>
            <w:r>
              <w:rPr>
                <w:rFonts w:hint="eastAsia" w:ascii="宋体" w:hAnsi="宋体" w:eastAsia="宋体" w:cs="宋体"/>
                <w:color w:val="000000"/>
                <w:spacing w:val="-4"/>
                <w:sz w:val="24"/>
                <w:szCs w:val="24"/>
              </w:rPr>
              <w:t>张春</w:t>
            </w:r>
          </w:p>
        </w:tc>
        <w:tc>
          <w:tcPr>
            <w:tcW w:w="3223"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宋体" w:hAnsi="宋体" w:eastAsia="宋体" w:cs="宋体"/>
                <w:color w:val="000000"/>
                <w:spacing w:val="-4"/>
                <w:sz w:val="24"/>
                <w:szCs w:val="24"/>
              </w:rPr>
            </w:pPr>
            <w:r>
              <w:rPr>
                <w:rFonts w:ascii="宋体" w:hAnsi="宋体" w:eastAsia="宋体" w:cs="宋体"/>
                <w:color w:val="000000"/>
                <w:spacing w:val="-4"/>
                <w:sz w:val="24"/>
                <w:szCs w:val="24"/>
              </w:rPr>
              <w:t>扬州聚源春茶叶专业合作社</w:t>
            </w:r>
          </w:p>
        </w:tc>
        <w:tc>
          <w:tcPr>
            <w:tcW w:w="1382"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color w:val="000000"/>
                <w:kern w:val="0"/>
                <w:sz w:val="24"/>
                <w:szCs w:val="24"/>
                <w:lang w:bidi="ar"/>
              </w:rPr>
            </w:pPr>
            <w:r>
              <w:rPr>
                <w:rFonts w:hint="eastAsia" w:ascii="Times New Roman Regular" w:hAnsi="Times New Roman Regular" w:eastAsia="宋体" w:cs="Times New Roman Regular"/>
                <w:color w:val="000000"/>
                <w:kern w:val="0"/>
                <w:sz w:val="24"/>
                <w:szCs w:val="24"/>
                <w:lang w:bidi="ar"/>
              </w:rPr>
              <w:t>总经理</w:t>
            </w:r>
          </w:p>
        </w:tc>
        <w:tc>
          <w:tcPr>
            <w:tcW w:w="2221"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color w:val="000000"/>
                <w:kern w:val="0"/>
                <w:sz w:val="24"/>
                <w:szCs w:val="24"/>
                <w:lang w:bidi="ar"/>
              </w:rPr>
            </w:pPr>
            <w:r>
              <w:rPr>
                <w:rFonts w:ascii="Times New Roman Regular" w:hAnsi="Times New Roman Regular" w:eastAsia="宋体" w:cs="Times New Roman Regular"/>
                <w:color w:val="000000"/>
                <w:kern w:val="0"/>
                <w:sz w:val="24"/>
                <w:szCs w:val="24"/>
                <w:lang w:bidi="ar"/>
              </w:rPr>
              <w:t>沟通协调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0" w:hRule="atLeast"/>
          <w:jc w:val="center"/>
        </w:trPr>
        <w:tc>
          <w:tcPr>
            <w:tcW w:w="737"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4</w:t>
            </w:r>
          </w:p>
        </w:tc>
        <w:tc>
          <w:tcPr>
            <w:tcW w:w="1138"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宋体" w:hAnsi="宋体" w:eastAsia="宋体" w:cs="宋体"/>
                <w:color w:val="000000"/>
                <w:spacing w:val="-4"/>
                <w:sz w:val="24"/>
                <w:szCs w:val="24"/>
              </w:rPr>
              <w:t>赵长涛</w:t>
            </w:r>
          </w:p>
        </w:tc>
        <w:tc>
          <w:tcPr>
            <w:tcW w:w="3223"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宋体" w:hAnsi="宋体" w:eastAsia="宋体" w:cs="宋体"/>
                <w:color w:val="000000"/>
                <w:spacing w:val="-4"/>
                <w:sz w:val="24"/>
                <w:szCs w:val="24"/>
              </w:rPr>
            </w:pPr>
            <w:r>
              <w:rPr>
                <w:rFonts w:ascii="宋体" w:hAnsi="宋体" w:eastAsia="宋体" w:cs="宋体"/>
                <w:color w:val="000000"/>
                <w:spacing w:val="-4"/>
                <w:sz w:val="24"/>
                <w:szCs w:val="24"/>
              </w:rPr>
              <w:t>仪征市谢集乡一品香制茶厂</w:t>
            </w:r>
          </w:p>
        </w:tc>
        <w:tc>
          <w:tcPr>
            <w:tcW w:w="1382"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Times New Roman Regular" w:hAnsi="Times New Roman Regular" w:eastAsia="宋体" w:cs="Times New Roman Regular"/>
                <w:color w:val="000000"/>
                <w:kern w:val="0"/>
                <w:sz w:val="24"/>
                <w:szCs w:val="24"/>
                <w:lang w:bidi="ar"/>
              </w:rPr>
              <w:t>总经理</w:t>
            </w:r>
          </w:p>
        </w:tc>
        <w:tc>
          <w:tcPr>
            <w:tcW w:w="2221"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收集信息，参与起草文本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37" w:hRule="atLeast"/>
          <w:jc w:val="center"/>
        </w:trPr>
        <w:tc>
          <w:tcPr>
            <w:tcW w:w="737"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5</w:t>
            </w:r>
          </w:p>
        </w:tc>
        <w:tc>
          <w:tcPr>
            <w:tcW w:w="1138"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宋体" w:hAnsi="宋体" w:eastAsia="宋体" w:cs="宋体"/>
                <w:color w:val="000000"/>
                <w:spacing w:val="-4"/>
                <w:sz w:val="24"/>
                <w:szCs w:val="24"/>
              </w:rPr>
              <w:t>张鹏</w:t>
            </w:r>
          </w:p>
        </w:tc>
        <w:tc>
          <w:tcPr>
            <w:tcW w:w="3223"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宋体" w:hAnsi="宋体" w:eastAsia="宋体" w:cs="宋体"/>
                <w:color w:val="000000"/>
                <w:spacing w:val="-4"/>
                <w:sz w:val="24"/>
                <w:szCs w:val="24"/>
              </w:rPr>
            </w:pPr>
            <w:r>
              <w:rPr>
                <w:rFonts w:ascii="宋体" w:hAnsi="宋体" w:eastAsia="宋体" w:cs="宋体"/>
                <w:color w:val="000000"/>
                <w:spacing w:val="-4"/>
                <w:sz w:val="24"/>
                <w:szCs w:val="24"/>
              </w:rPr>
              <w:t>仪征市绿扬春茶叶</w:t>
            </w:r>
            <w:r>
              <w:rPr>
                <w:rFonts w:hint="eastAsia" w:ascii="宋体" w:hAnsi="宋体" w:eastAsia="宋体" w:cs="宋体"/>
                <w:color w:val="000000"/>
                <w:spacing w:val="-4"/>
                <w:sz w:val="24"/>
                <w:szCs w:val="24"/>
              </w:rPr>
              <w:t>有限</w:t>
            </w:r>
            <w:r>
              <w:rPr>
                <w:rFonts w:ascii="宋体" w:hAnsi="宋体" w:eastAsia="宋体" w:cs="宋体"/>
                <w:color w:val="000000"/>
                <w:spacing w:val="-4"/>
                <w:sz w:val="24"/>
                <w:szCs w:val="24"/>
              </w:rPr>
              <w:t>公司</w:t>
            </w:r>
          </w:p>
        </w:tc>
        <w:tc>
          <w:tcPr>
            <w:tcW w:w="1382"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Times New Roman Regular" w:hAnsi="Times New Roman Regular" w:eastAsia="宋体" w:cs="Times New Roman Regular"/>
                <w:color w:val="000000"/>
                <w:kern w:val="0"/>
                <w:sz w:val="24"/>
                <w:szCs w:val="24"/>
                <w:lang w:bidi="ar"/>
              </w:rPr>
              <w:t>总经理</w:t>
            </w:r>
          </w:p>
        </w:tc>
        <w:tc>
          <w:tcPr>
            <w:tcW w:w="2221"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收集信息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1" w:hRule="atLeast"/>
          <w:jc w:val="center"/>
        </w:trPr>
        <w:tc>
          <w:tcPr>
            <w:tcW w:w="737"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color w:val="000000"/>
                <w:kern w:val="0"/>
                <w:sz w:val="24"/>
                <w:szCs w:val="24"/>
                <w:lang w:bidi="ar"/>
              </w:rPr>
            </w:pPr>
            <w:r>
              <w:rPr>
                <w:rFonts w:ascii="Times New Roman Regular" w:hAnsi="Times New Roman Regular" w:eastAsia="宋体" w:cs="Times New Roman Regular"/>
                <w:color w:val="000000"/>
                <w:kern w:val="0"/>
                <w:sz w:val="24"/>
                <w:szCs w:val="24"/>
                <w:lang w:bidi="ar"/>
              </w:rPr>
              <w:t>6</w:t>
            </w:r>
          </w:p>
        </w:tc>
        <w:tc>
          <w:tcPr>
            <w:tcW w:w="1138"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宋体" w:hAnsi="宋体" w:eastAsia="宋体" w:cs="宋体"/>
                <w:color w:val="000000"/>
                <w:spacing w:val="-4"/>
                <w:sz w:val="24"/>
                <w:szCs w:val="24"/>
              </w:rPr>
              <w:t>夏军</w:t>
            </w:r>
          </w:p>
        </w:tc>
        <w:tc>
          <w:tcPr>
            <w:tcW w:w="3223"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宋体" w:hAnsi="宋体" w:eastAsia="宋体" w:cs="宋体"/>
                <w:color w:val="000000"/>
                <w:spacing w:val="-4"/>
                <w:sz w:val="24"/>
                <w:szCs w:val="24"/>
              </w:rPr>
            </w:pPr>
            <w:r>
              <w:rPr>
                <w:rFonts w:ascii="宋体" w:hAnsi="宋体" w:eastAsia="宋体" w:cs="宋体"/>
                <w:color w:val="000000"/>
                <w:spacing w:val="-4"/>
                <w:sz w:val="24"/>
                <w:szCs w:val="24"/>
              </w:rPr>
              <w:t>仪征市月塘茶场有限公司</w:t>
            </w:r>
          </w:p>
        </w:tc>
        <w:tc>
          <w:tcPr>
            <w:tcW w:w="1382"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color w:val="000000"/>
                <w:kern w:val="0"/>
                <w:sz w:val="24"/>
                <w:szCs w:val="24"/>
                <w:lang w:bidi="ar"/>
              </w:rPr>
            </w:pPr>
            <w:r>
              <w:rPr>
                <w:rFonts w:hint="eastAsia" w:ascii="Times New Roman Regular" w:hAnsi="Times New Roman Regular" w:eastAsia="宋体" w:cs="Times New Roman Regular"/>
                <w:color w:val="000000"/>
                <w:kern w:val="0"/>
                <w:sz w:val="24"/>
                <w:szCs w:val="24"/>
                <w:lang w:bidi="ar"/>
              </w:rPr>
              <w:t>总经理</w:t>
            </w:r>
          </w:p>
        </w:tc>
        <w:tc>
          <w:tcPr>
            <w:tcW w:w="2221"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color w:val="000000"/>
                <w:kern w:val="0"/>
                <w:sz w:val="24"/>
                <w:szCs w:val="24"/>
                <w:lang w:bidi="ar"/>
              </w:rPr>
            </w:pPr>
            <w:r>
              <w:rPr>
                <w:rFonts w:ascii="Times New Roman Regular" w:hAnsi="Times New Roman Regular" w:eastAsia="宋体" w:cs="Times New Roman Regular"/>
                <w:color w:val="000000"/>
                <w:kern w:val="0"/>
                <w:sz w:val="24"/>
                <w:szCs w:val="24"/>
                <w:lang w:bidi="ar"/>
              </w:rPr>
              <w:t>沟通协调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1" w:hRule="atLeast"/>
          <w:jc w:val="center"/>
        </w:trPr>
        <w:tc>
          <w:tcPr>
            <w:tcW w:w="737"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7</w:t>
            </w:r>
          </w:p>
        </w:tc>
        <w:tc>
          <w:tcPr>
            <w:tcW w:w="1138"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宋体" w:hAnsi="宋体" w:eastAsia="宋体" w:cs="宋体"/>
                <w:color w:val="000000"/>
                <w:spacing w:val="-4"/>
                <w:sz w:val="24"/>
                <w:szCs w:val="24"/>
              </w:rPr>
              <w:t>彭云</w:t>
            </w:r>
          </w:p>
        </w:tc>
        <w:tc>
          <w:tcPr>
            <w:tcW w:w="3223"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宋体" w:hAnsi="宋体" w:eastAsia="宋体" w:cs="宋体"/>
                <w:color w:val="000000"/>
                <w:spacing w:val="-4"/>
                <w:sz w:val="24"/>
                <w:szCs w:val="24"/>
              </w:rPr>
            </w:pPr>
            <w:r>
              <w:rPr>
                <w:rFonts w:ascii="宋体" w:hAnsi="宋体" w:eastAsia="宋体" w:cs="宋体"/>
                <w:color w:val="000000"/>
                <w:spacing w:val="-4"/>
                <w:sz w:val="24"/>
                <w:szCs w:val="24"/>
              </w:rPr>
              <w:t>仪征市皓芸茶业园</w:t>
            </w:r>
          </w:p>
        </w:tc>
        <w:tc>
          <w:tcPr>
            <w:tcW w:w="1382"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Times New Roman Regular" w:hAnsi="Times New Roman Regular" w:eastAsia="宋体" w:cs="Times New Roman Regular"/>
                <w:color w:val="000000"/>
                <w:kern w:val="0"/>
                <w:sz w:val="24"/>
                <w:szCs w:val="24"/>
                <w:lang w:bidi="ar"/>
              </w:rPr>
              <w:t>总经理</w:t>
            </w:r>
          </w:p>
        </w:tc>
        <w:tc>
          <w:tcPr>
            <w:tcW w:w="2221"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收集信息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3" w:hRule="atLeast"/>
          <w:jc w:val="center"/>
        </w:trPr>
        <w:tc>
          <w:tcPr>
            <w:tcW w:w="737"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8</w:t>
            </w:r>
          </w:p>
        </w:tc>
        <w:tc>
          <w:tcPr>
            <w:tcW w:w="1138"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宋体" w:hAnsi="宋体" w:eastAsia="宋体" w:cs="宋体"/>
                <w:color w:val="000000"/>
                <w:spacing w:val="-4"/>
                <w:sz w:val="24"/>
                <w:szCs w:val="24"/>
              </w:rPr>
              <w:t>陈苏生</w:t>
            </w:r>
          </w:p>
        </w:tc>
        <w:tc>
          <w:tcPr>
            <w:tcW w:w="3223"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宋体" w:hAnsi="宋体" w:eastAsia="宋体" w:cs="宋体"/>
                <w:color w:val="000000"/>
                <w:spacing w:val="-4"/>
                <w:sz w:val="24"/>
                <w:szCs w:val="24"/>
              </w:rPr>
            </w:pPr>
            <w:r>
              <w:rPr>
                <w:rFonts w:ascii="宋体" w:hAnsi="宋体" w:eastAsia="宋体" w:cs="宋体"/>
                <w:color w:val="000000"/>
                <w:spacing w:val="-4"/>
                <w:sz w:val="24"/>
                <w:szCs w:val="24"/>
              </w:rPr>
              <w:t>仪征市大自然茶业有限公司</w:t>
            </w:r>
          </w:p>
        </w:tc>
        <w:tc>
          <w:tcPr>
            <w:tcW w:w="1382"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Times New Roman Regular" w:hAnsi="Times New Roman Regular" w:eastAsia="宋体" w:cs="Times New Roman Regular"/>
                <w:color w:val="000000"/>
                <w:kern w:val="0"/>
                <w:sz w:val="24"/>
                <w:szCs w:val="24"/>
                <w:lang w:bidi="ar"/>
              </w:rPr>
              <w:t>质量总监</w:t>
            </w:r>
          </w:p>
        </w:tc>
        <w:tc>
          <w:tcPr>
            <w:tcW w:w="2221"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收集信息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3" w:hRule="atLeast"/>
          <w:jc w:val="center"/>
        </w:trPr>
        <w:tc>
          <w:tcPr>
            <w:tcW w:w="737"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color w:val="000000"/>
                <w:kern w:val="0"/>
                <w:sz w:val="24"/>
                <w:szCs w:val="24"/>
                <w:lang w:bidi="ar"/>
              </w:rPr>
            </w:pPr>
            <w:r>
              <w:rPr>
                <w:rFonts w:ascii="Times New Roman Regular" w:hAnsi="Times New Roman Regular" w:eastAsia="宋体" w:cs="Times New Roman Regular"/>
                <w:color w:val="000000"/>
                <w:kern w:val="0"/>
                <w:sz w:val="24"/>
                <w:szCs w:val="24"/>
                <w:lang w:bidi="ar"/>
              </w:rPr>
              <w:t>9</w:t>
            </w:r>
          </w:p>
        </w:tc>
        <w:tc>
          <w:tcPr>
            <w:tcW w:w="1138"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color w:val="000000"/>
                <w:kern w:val="0"/>
                <w:sz w:val="24"/>
                <w:szCs w:val="24"/>
                <w:lang w:bidi="ar"/>
              </w:rPr>
            </w:pPr>
            <w:r>
              <w:rPr>
                <w:rFonts w:hint="eastAsia" w:ascii="宋体" w:hAnsi="宋体" w:eastAsia="宋体" w:cs="宋体"/>
                <w:color w:val="000000"/>
                <w:spacing w:val="-4"/>
                <w:sz w:val="24"/>
                <w:szCs w:val="24"/>
              </w:rPr>
              <w:t>胡慧琳</w:t>
            </w:r>
          </w:p>
        </w:tc>
        <w:tc>
          <w:tcPr>
            <w:tcW w:w="3223"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仪征市农业农村局</w:t>
            </w:r>
          </w:p>
        </w:tc>
        <w:tc>
          <w:tcPr>
            <w:tcW w:w="1382"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color w:val="000000"/>
                <w:kern w:val="0"/>
                <w:sz w:val="24"/>
                <w:szCs w:val="24"/>
                <w:lang w:bidi="ar"/>
              </w:rPr>
            </w:pPr>
            <w:r>
              <w:rPr>
                <w:rFonts w:hint="eastAsia" w:ascii="Times New Roman Regular" w:hAnsi="Times New Roman Regular" w:eastAsia="宋体" w:cs="Times New Roman Regular"/>
                <w:color w:val="000000"/>
                <w:kern w:val="0"/>
                <w:sz w:val="24"/>
                <w:szCs w:val="24"/>
                <w:lang w:bidi="ar"/>
              </w:rPr>
              <w:t>助</w:t>
            </w:r>
            <w:r>
              <w:rPr>
                <w:rFonts w:hint="eastAsia" w:ascii="Times New Roman Regular" w:hAnsi="Times New Roman Regular" w:eastAsia="宋体" w:cs="Times New Roman Regular"/>
                <w:color w:val="000000"/>
                <w:kern w:val="0"/>
                <w:sz w:val="24"/>
                <w:szCs w:val="24"/>
                <w:lang w:eastAsia="zh-Hans" w:bidi="ar"/>
              </w:rPr>
              <w:t>理</w:t>
            </w:r>
            <w:r>
              <w:rPr>
                <w:rFonts w:hint="eastAsia" w:ascii="Times New Roman Regular" w:hAnsi="Times New Roman Regular" w:eastAsia="宋体" w:cs="Times New Roman Regular"/>
                <w:color w:val="000000"/>
                <w:kern w:val="0"/>
                <w:sz w:val="24"/>
                <w:szCs w:val="24"/>
                <w:lang w:bidi="ar"/>
              </w:rPr>
              <w:t>农艺师</w:t>
            </w:r>
          </w:p>
        </w:tc>
        <w:tc>
          <w:tcPr>
            <w:tcW w:w="2221"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color w:val="000000"/>
                <w:kern w:val="0"/>
                <w:sz w:val="24"/>
                <w:szCs w:val="24"/>
                <w:lang w:bidi="ar"/>
              </w:rPr>
            </w:pPr>
            <w:r>
              <w:rPr>
                <w:rFonts w:ascii="Times New Roman Regular" w:hAnsi="Times New Roman Regular" w:eastAsia="宋体" w:cs="Times New Roman Regular"/>
                <w:color w:val="000000"/>
                <w:kern w:val="0"/>
                <w:sz w:val="24"/>
                <w:szCs w:val="24"/>
                <w:lang w:bidi="ar"/>
              </w:rPr>
              <w:t>收集信息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3" w:hRule="atLeast"/>
          <w:jc w:val="center"/>
        </w:trPr>
        <w:tc>
          <w:tcPr>
            <w:tcW w:w="737"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color w:val="000000"/>
                <w:kern w:val="0"/>
                <w:sz w:val="24"/>
                <w:szCs w:val="24"/>
                <w:lang w:bidi="ar"/>
              </w:rPr>
            </w:pPr>
            <w:r>
              <w:rPr>
                <w:rFonts w:ascii="Times New Roman Regular" w:hAnsi="Times New Roman Regular" w:eastAsia="宋体" w:cs="Times New Roman Regular"/>
                <w:color w:val="000000"/>
                <w:kern w:val="0"/>
                <w:sz w:val="24"/>
                <w:szCs w:val="24"/>
                <w:lang w:bidi="ar"/>
              </w:rPr>
              <w:t>10</w:t>
            </w:r>
          </w:p>
        </w:tc>
        <w:tc>
          <w:tcPr>
            <w:tcW w:w="1138"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宋体" w:hAnsi="宋体" w:eastAsia="宋体" w:cs="宋体"/>
                <w:color w:val="000000"/>
                <w:spacing w:val="-4"/>
                <w:sz w:val="24"/>
                <w:szCs w:val="24"/>
              </w:rPr>
              <w:t>赵宏鸣</w:t>
            </w:r>
          </w:p>
        </w:tc>
        <w:tc>
          <w:tcPr>
            <w:tcW w:w="3223"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宋体" w:hAnsi="宋体" w:eastAsia="宋体" w:cs="宋体"/>
                <w:color w:val="000000"/>
                <w:spacing w:val="-4"/>
                <w:sz w:val="24"/>
                <w:szCs w:val="24"/>
              </w:rPr>
            </w:pPr>
            <w:r>
              <w:rPr>
                <w:rFonts w:ascii="宋体" w:hAnsi="宋体" w:eastAsia="宋体" w:cs="宋体"/>
                <w:color w:val="000000"/>
                <w:spacing w:val="-4"/>
                <w:sz w:val="24"/>
                <w:szCs w:val="24"/>
              </w:rPr>
              <w:t>仪征市谢集乡一品香制茶厂</w:t>
            </w:r>
          </w:p>
        </w:tc>
        <w:tc>
          <w:tcPr>
            <w:tcW w:w="1382"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Times New Roman Regular" w:hAnsi="Times New Roman Regular" w:eastAsia="宋体" w:cs="Times New Roman Regular"/>
                <w:color w:val="000000"/>
                <w:kern w:val="0"/>
                <w:sz w:val="24"/>
                <w:szCs w:val="24"/>
                <w:lang w:bidi="ar"/>
              </w:rPr>
              <w:t>质量总监</w:t>
            </w:r>
          </w:p>
        </w:tc>
        <w:tc>
          <w:tcPr>
            <w:tcW w:w="2221"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sz w:val="24"/>
                <w:szCs w:val="24"/>
              </w:rPr>
            </w:pPr>
            <w:r>
              <w:rPr>
                <w:rFonts w:ascii="Times New Roman Regular" w:hAnsi="Times New Roman Regular" w:eastAsia="宋体" w:cs="Times New Roman Regular"/>
                <w:color w:val="000000"/>
                <w:kern w:val="0"/>
                <w:sz w:val="24"/>
                <w:szCs w:val="24"/>
                <w:lang w:bidi="ar"/>
              </w:rPr>
              <w:t>收集信息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3" w:hRule="atLeast"/>
          <w:jc w:val="center"/>
        </w:trPr>
        <w:tc>
          <w:tcPr>
            <w:tcW w:w="737"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color w:val="000000"/>
                <w:kern w:val="0"/>
                <w:sz w:val="24"/>
                <w:szCs w:val="24"/>
                <w:lang w:bidi="ar"/>
              </w:rPr>
            </w:pPr>
            <w:r>
              <w:rPr>
                <w:rFonts w:ascii="Times New Roman Regular" w:hAnsi="Times New Roman Regular" w:eastAsia="宋体" w:cs="Times New Roman Regular"/>
                <w:color w:val="000000"/>
                <w:kern w:val="0"/>
                <w:sz w:val="24"/>
                <w:szCs w:val="24"/>
                <w:lang w:bidi="ar"/>
              </w:rPr>
              <w:t>11</w:t>
            </w:r>
          </w:p>
        </w:tc>
        <w:tc>
          <w:tcPr>
            <w:tcW w:w="1138"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宋体" w:hAnsi="宋体" w:eastAsia="宋体" w:cs="宋体"/>
                <w:color w:val="000000"/>
                <w:spacing w:val="-4"/>
                <w:sz w:val="24"/>
                <w:szCs w:val="24"/>
              </w:rPr>
              <w:t>张宏金</w:t>
            </w:r>
          </w:p>
        </w:tc>
        <w:tc>
          <w:tcPr>
            <w:tcW w:w="3223"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仪征市欣仪茶叶专业合作社</w:t>
            </w:r>
          </w:p>
        </w:tc>
        <w:tc>
          <w:tcPr>
            <w:tcW w:w="1382"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jc w:val="center"/>
              <w:rPr>
                <w:rFonts w:hint="eastAsia" w:ascii="Times New Roman Regular" w:hAnsi="Times New Roman Regular" w:eastAsia="宋体" w:cs="Times New Roman Regular"/>
                <w:sz w:val="24"/>
                <w:szCs w:val="24"/>
              </w:rPr>
            </w:pPr>
            <w:r>
              <w:rPr>
                <w:rFonts w:hint="eastAsia" w:ascii="Times New Roman Regular" w:hAnsi="Times New Roman Regular" w:eastAsia="宋体" w:cs="Times New Roman Regular"/>
                <w:color w:val="000000"/>
                <w:kern w:val="0"/>
                <w:sz w:val="24"/>
                <w:szCs w:val="24"/>
                <w:lang w:bidi="ar"/>
              </w:rPr>
              <w:t>总经理</w:t>
            </w:r>
          </w:p>
        </w:tc>
        <w:tc>
          <w:tcPr>
            <w:tcW w:w="2221" w:type="dxa"/>
            <w:tcBorders>
              <w:top w:val="single" w:color="000000" w:sz="2" w:space="0"/>
              <w:left w:val="single" w:color="000000" w:sz="2" w:space="0"/>
              <w:bottom w:val="single" w:color="000000" w:sz="2" w:space="0"/>
              <w:right w:val="single" w:color="000000" w:sz="2" w:space="0"/>
            </w:tcBorders>
            <w:vAlign w:val="center"/>
          </w:tcPr>
          <w:p>
            <w:pPr>
              <w:widowControl/>
              <w:kinsoku w:val="0"/>
              <w:autoSpaceDE w:val="0"/>
              <w:autoSpaceDN w:val="0"/>
              <w:adjustRightInd w:val="0"/>
              <w:snapToGrid w:val="0"/>
              <w:spacing w:before="105" w:line="256" w:lineRule="auto"/>
              <w:ind w:left="132" w:leftChars="63" w:right="109"/>
              <w:jc w:val="center"/>
              <w:rPr>
                <w:rFonts w:hint="eastAsia" w:ascii="Times New Roman Regular" w:hAnsi="Times New Roman Regular" w:eastAsia="宋体" w:cs="Times New Roman Regular"/>
                <w:sz w:val="24"/>
                <w:szCs w:val="24"/>
                <w:lang w:eastAsia="zh-Hans"/>
              </w:rPr>
            </w:pPr>
            <w:r>
              <w:rPr>
                <w:rFonts w:ascii="Times New Roman Regular" w:hAnsi="Times New Roman Regular" w:eastAsia="宋体" w:cs="Times New Roman Regular"/>
                <w:color w:val="000000"/>
                <w:kern w:val="0"/>
                <w:sz w:val="24"/>
                <w:szCs w:val="24"/>
                <w:lang w:bidi="ar"/>
              </w:rPr>
              <w:t>沟通协调</w:t>
            </w:r>
            <w:r>
              <w:rPr>
                <w:rFonts w:hint="eastAsia" w:ascii="Times New Roman Regular" w:hAnsi="Times New Roman Regular" w:eastAsia="宋体" w:cs="Times New Roman Regular"/>
                <w:color w:val="000000"/>
                <w:kern w:val="0"/>
                <w:sz w:val="24"/>
                <w:szCs w:val="24"/>
                <w:lang w:eastAsia="zh-Hans" w:bidi="ar"/>
              </w:rPr>
              <w:t>、</w:t>
            </w:r>
            <w:r>
              <w:rPr>
                <w:rFonts w:ascii="Times New Roman Regular" w:hAnsi="Times New Roman Regular" w:eastAsia="宋体" w:cs="Times New Roman Regular"/>
                <w:color w:val="000000"/>
                <w:kern w:val="0"/>
                <w:sz w:val="24"/>
                <w:szCs w:val="24"/>
                <w:lang w:bidi="ar"/>
              </w:rPr>
              <w:t>执笔</w:t>
            </w:r>
          </w:p>
        </w:tc>
      </w:tr>
    </w:tbl>
    <w:p>
      <w:pPr>
        <w:tabs>
          <w:tab w:val="left" w:pos="312"/>
        </w:tabs>
        <w:spacing w:line="560" w:lineRule="exact"/>
        <w:ind w:firstLine="280" w:firstLineChars="100"/>
        <w:rPr>
          <w:rFonts w:hint="eastAsia" w:ascii="宋体" w:hAnsi="宋体" w:eastAsia="宋体" w:cs="宋体"/>
          <w:color w:val="333333"/>
          <w:sz w:val="28"/>
          <w:szCs w:val="28"/>
          <w:shd w:val="clear" w:color="auto" w:fill="FFFFFF"/>
        </w:rPr>
      </w:pPr>
    </w:p>
    <w:p>
      <w:pPr>
        <w:spacing w:line="560" w:lineRule="exact"/>
        <w:rPr>
          <w:rFonts w:hint="eastAsia" w:ascii="宋体" w:hAnsi="宋体" w:eastAsia="宋体" w:cs="宋体"/>
          <w:color w:val="000000" w:themeColor="text1"/>
          <w:sz w:val="24"/>
          <w:szCs w:val="24"/>
          <w14:textFill>
            <w14:solidFill>
              <w14:schemeClr w14:val="tx1"/>
            </w14:solidFill>
          </w14:textFill>
        </w:rPr>
      </w:pPr>
    </w:p>
    <w:p>
      <w:pPr>
        <w:spacing w:line="560" w:lineRule="exact"/>
        <w:rPr>
          <w:rFonts w:hint="eastAsia" w:ascii="宋体" w:hAnsi="宋体" w:eastAsia="宋体" w:cs="宋体"/>
          <w:color w:val="333333"/>
          <w:sz w:val="28"/>
          <w:szCs w:val="28"/>
          <w:shd w:val="clear" w:color="auto" w:fill="FFFFFF"/>
        </w:rPr>
      </w:pP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 xml:space="preserve">                            </w:t>
      </w:r>
      <w:r>
        <w:rPr>
          <w:rFonts w:ascii="Times New Roman Regular" w:hAnsi="Times New Roman Regular" w:eastAsia="宋体" w:cs="Times New Roman Regular"/>
          <w:color w:val="000000" w:themeColor="text1"/>
          <w:sz w:val="24"/>
          <w:szCs w:val="24"/>
          <w14:textFill>
            <w14:solidFill>
              <w14:schemeClr w14:val="tx1"/>
            </w14:solidFill>
          </w14:textFill>
        </w:rPr>
        <w:t xml:space="preserve">                         </w:t>
      </w:r>
      <w:r>
        <w:rPr>
          <w:rFonts w:ascii="Times New Roman Regular" w:hAnsi="Times New Roman Regular" w:eastAsia="宋体" w:cs="Times New Roman Regular"/>
          <w:color w:val="333333"/>
          <w:sz w:val="28"/>
          <w:szCs w:val="28"/>
          <w:shd w:val="clear" w:color="auto" w:fill="FFFFFF"/>
        </w:rPr>
        <w:t xml:space="preserve">  2024年8月</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Cambria">
    <w:altName w:val="苹方-简"/>
    <w:panose1 w:val="02040503050406030204"/>
    <w:charset w:val="00"/>
    <w:family w:val="roman"/>
    <w:pitch w:val="default"/>
    <w:sig w:usb0="00000000" w:usb1="00000000" w:usb2="02000000" w:usb3="00000000" w:csb0="0000019F" w:csb1="00000000"/>
  </w:font>
  <w:font w:name="苹方-简">
    <w:panose1 w:val="020B04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方正小标宋_GBK">
    <w:altName w:val="汉仪书宋二KW"/>
    <w:panose1 w:val="03000509000000000000"/>
    <w:charset w:val="86"/>
    <w:family w:val="script"/>
    <w:pitch w:val="default"/>
    <w:sig w:usb0="00000000" w:usb1="00000000" w:usb2="00000010" w:usb3="00000000" w:csb0="00040000" w:csb1="00000000"/>
  </w:font>
  <w:font w:name="Times New Roman Regular">
    <w:panose1 w:val="02020603050405020304"/>
    <w:charset w:val="00"/>
    <w:family w:val="auto"/>
    <w:pitch w:val="default"/>
    <w:sig w:usb0="00000000" w:usb1="00000000" w:usb2="00000000" w:usb3="00000000" w:csb0="00000000"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00000000" w:usb1="00000000" w:usb2="00000000" w:usb3="00000000" w:csb0="00060000" w:csb1="00000000"/>
  </w:font>
  <w:font w:name="冬青黑体简体中文">
    <w:panose1 w:val="020B0300000000000000"/>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004270"/>
    </w:sdtPr>
    <w:sdtContent>
      <w:p>
        <w:pPr>
          <w:pStyle w:val="7"/>
          <w:jc w:val="right"/>
        </w:pPr>
        <w:r>
          <w:fldChar w:fldCharType="begin"/>
        </w:r>
        <w:r>
          <w:instrText xml:space="preserve">PAGE   \* MERGEFORMAT</w:instrText>
        </w:r>
        <w:r>
          <w:fldChar w:fldCharType="separate"/>
        </w:r>
        <w:r>
          <w:rPr>
            <w:lang w:val="zh-CN"/>
          </w:rPr>
          <w:t>2</w:t>
        </w:r>
        <w:r>
          <w:fldChar w:fldCharType="end"/>
        </w:r>
      </w:p>
    </w:sdtContent>
  </w:sdt>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rFonts w:ascii="黑体" w:eastAsia="黑体"/>
      </w:rPr>
    </w:pPr>
    <w:r>
      <w:rPr>
        <w:rFonts w:hint="eastAsia" w:ascii="黑体" w:eastAsia="黑体"/>
      </w:rPr>
      <w:t>DB32/T ××××—202</w:t>
    </w:r>
    <w:r>
      <w:rPr>
        <w:rFonts w:ascii="黑体" w:eastAsia="黑体"/>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917C3"/>
    <w:multiLevelType w:val="multilevel"/>
    <w:tmpl w:val="2C5917C3"/>
    <w:lvl w:ilvl="0" w:tentative="0">
      <w:start w:val="1"/>
      <w:numFmt w:val="none"/>
      <w:pStyle w:val="14"/>
      <w:lvlText w:val="%1——"/>
      <w:lvlJc w:val="left"/>
      <w:pPr>
        <w:tabs>
          <w:tab w:val="left" w:pos="851"/>
        </w:tabs>
        <w:ind w:left="-205" w:hanging="426"/>
      </w:pPr>
      <w:rPr>
        <w:rFonts w:hint="eastAsia" w:ascii="宋体" w:hAnsi="Times New Roman" w:eastAsia="宋体"/>
        <w:b w:val="0"/>
        <w:i w:val="0"/>
        <w:sz w:val="21"/>
      </w:rPr>
    </w:lvl>
    <w:lvl w:ilvl="1" w:tentative="0">
      <w:start w:val="1"/>
      <w:numFmt w:val="none"/>
      <w:lvlText w:val=""/>
      <w:lvlJc w:val="left"/>
      <w:pPr>
        <w:ind w:left="-205" w:hanging="431"/>
      </w:pPr>
      <w:rPr>
        <w:rFonts w:hint="default" w:ascii="Symbol" w:hAnsi="Symbol"/>
        <w:sz w:val="21"/>
      </w:rPr>
    </w:lvl>
    <w:lvl w:ilvl="2" w:tentative="0">
      <w:start w:val="1"/>
      <w:numFmt w:val="bullet"/>
      <w:lvlText w:val=""/>
      <w:lvlJc w:val="left"/>
      <w:pPr>
        <w:ind w:left="-205" w:hanging="426"/>
      </w:pPr>
      <w:rPr>
        <w:rFonts w:hint="default" w:ascii="Wingdings" w:hAnsi="Wingdings"/>
        <w:sz w:val="21"/>
      </w:rPr>
    </w:lvl>
    <w:lvl w:ilvl="3" w:tentative="0">
      <w:start w:val="1"/>
      <w:numFmt w:val="decimal"/>
      <w:lvlText w:val="%4."/>
      <w:lvlJc w:val="left"/>
      <w:pPr>
        <w:tabs>
          <w:tab w:val="left" w:pos="2071"/>
        </w:tabs>
        <w:ind w:left="828" w:hanging="528"/>
      </w:pPr>
      <w:rPr>
        <w:rFonts w:hint="eastAsia"/>
      </w:rPr>
    </w:lvl>
    <w:lvl w:ilvl="4" w:tentative="0">
      <w:start w:val="1"/>
      <w:numFmt w:val="lowerLetter"/>
      <w:lvlText w:val="%5)"/>
      <w:lvlJc w:val="left"/>
      <w:pPr>
        <w:tabs>
          <w:tab w:val="left" w:pos="2383"/>
        </w:tabs>
        <w:ind w:left="1140" w:hanging="528"/>
      </w:pPr>
      <w:rPr>
        <w:rFonts w:hint="eastAsia"/>
      </w:rPr>
    </w:lvl>
    <w:lvl w:ilvl="5" w:tentative="0">
      <w:start w:val="1"/>
      <w:numFmt w:val="lowerRoman"/>
      <w:lvlText w:val="%6."/>
      <w:lvlJc w:val="right"/>
      <w:pPr>
        <w:tabs>
          <w:tab w:val="left" w:pos="2695"/>
        </w:tabs>
        <w:ind w:left="1452" w:hanging="528"/>
      </w:pPr>
      <w:rPr>
        <w:rFonts w:hint="eastAsia"/>
      </w:rPr>
    </w:lvl>
    <w:lvl w:ilvl="6" w:tentative="0">
      <w:start w:val="1"/>
      <w:numFmt w:val="decimal"/>
      <w:lvlText w:val="%7."/>
      <w:lvlJc w:val="left"/>
      <w:pPr>
        <w:tabs>
          <w:tab w:val="left" w:pos="3007"/>
        </w:tabs>
        <w:ind w:left="1764" w:hanging="528"/>
      </w:pPr>
      <w:rPr>
        <w:rFonts w:hint="eastAsia"/>
      </w:rPr>
    </w:lvl>
    <w:lvl w:ilvl="7" w:tentative="0">
      <w:start w:val="1"/>
      <w:numFmt w:val="lowerLetter"/>
      <w:lvlText w:val="%8)"/>
      <w:lvlJc w:val="left"/>
      <w:pPr>
        <w:tabs>
          <w:tab w:val="left" w:pos="3319"/>
        </w:tabs>
        <w:ind w:left="2076" w:hanging="528"/>
      </w:pPr>
      <w:rPr>
        <w:rFonts w:hint="eastAsia"/>
      </w:rPr>
    </w:lvl>
    <w:lvl w:ilvl="8" w:tentative="0">
      <w:start w:val="1"/>
      <w:numFmt w:val="lowerRoman"/>
      <w:lvlText w:val="%9."/>
      <w:lvlJc w:val="right"/>
      <w:pPr>
        <w:tabs>
          <w:tab w:val="left" w:pos="3631"/>
        </w:tabs>
        <w:ind w:left="2388" w:hanging="528"/>
      </w:pPr>
      <w:rPr>
        <w:rFonts w:hint="eastAsia"/>
      </w:rPr>
    </w:lvl>
  </w:abstractNum>
  <w:abstractNum w:abstractNumId="1">
    <w:nsid w:val="74703C02"/>
    <w:multiLevelType w:val="singleLevel"/>
    <w:tmpl w:val="74703C0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ZlYzJmZGIxZjczNGY3ZjNhODg3NTgzYzBiYzcwMzUifQ=="/>
  </w:docVars>
  <w:rsids>
    <w:rsidRoot w:val="64833076"/>
    <w:rsid w:val="000208C6"/>
    <w:rsid w:val="000266F1"/>
    <w:rsid w:val="000639DA"/>
    <w:rsid w:val="0008095F"/>
    <w:rsid w:val="000C61DB"/>
    <w:rsid w:val="000E1D74"/>
    <w:rsid w:val="001057EA"/>
    <w:rsid w:val="001644E5"/>
    <w:rsid w:val="00187529"/>
    <w:rsid w:val="002020D9"/>
    <w:rsid w:val="002F52A0"/>
    <w:rsid w:val="003000D1"/>
    <w:rsid w:val="003307E2"/>
    <w:rsid w:val="00356A8C"/>
    <w:rsid w:val="00394C07"/>
    <w:rsid w:val="003F70A4"/>
    <w:rsid w:val="00451142"/>
    <w:rsid w:val="00482237"/>
    <w:rsid w:val="0049226B"/>
    <w:rsid w:val="004A7C13"/>
    <w:rsid w:val="0056610E"/>
    <w:rsid w:val="005A167E"/>
    <w:rsid w:val="00602EE2"/>
    <w:rsid w:val="00612393"/>
    <w:rsid w:val="006333D6"/>
    <w:rsid w:val="00645169"/>
    <w:rsid w:val="006C77D4"/>
    <w:rsid w:val="0070545D"/>
    <w:rsid w:val="00715991"/>
    <w:rsid w:val="0076734B"/>
    <w:rsid w:val="007717C3"/>
    <w:rsid w:val="00772A2C"/>
    <w:rsid w:val="007F645D"/>
    <w:rsid w:val="00814E57"/>
    <w:rsid w:val="0085212C"/>
    <w:rsid w:val="008D2EC6"/>
    <w:rsid w:val="00962A83"/>
    <w:rsid w:val="009C3196"/>
    <w:rsid w:val="00A57B76"/>
    <w:rsid w:val="00A80CCA"/>
    <w:rsid w:val="00B0552E"/>
    <w:rsid w:val="00B14CC3"/>
    <w:rsid w:val="00BA09C1"/>
    <w:rsid w:val="00C87614"/>
    <w:rsid w:val="00D002C2"/>
    <w:rsid w:val="00D3654E"/>
    <w:rsid w:val="00D552B9"/>
    <w:rsid w:val="00E61B19"/>
    <w:rsid w:val="00E64A69"/>
    <w:rsid w:val="00E76F97"/>
    <w:rsid w:val="00E91AA2"/>
    <w:rsid w:val="00EF044F"/>
    <w:rsid w:val="00F53AB5"/>
    <w:rsid w:val="00FF14EA"/>
    <w:rsid w:val="01AC75F0"/>
    <w:rsid w:val="02E80AFB"/>
    <w:rsid w:val="05353DA0"/>
    <w:rsid w:val="09667BA7"/>
    <w:rsid w:val="112E1DCF"/>
    <w:rsid w:val="125B6C0C"/>
    <w:rsid w:val="134E6759"/>
    <w:rsid w:val="13D355E7"/>
    <w:rsid w:val="175207E1"/>
    <w:rsid w:val="1A1E46C9"/>
    <w:rsid w:val="1E7FF436"/>
    <w:rsid w:val="1FC372D2"/>
    <w:rsid w:val="20C31B63"/>
    <w:rsid w:val="23171F42"/>
    <w:rsid w:val="26094761"/>
    <w:rsid w:val="28327F9F"/>
    <w:rsid w:val="289E5635"/>
    <w:rsid w:val="2AC53F95"/>
    <w:rsid w:val="2EC77A57"/>
    <w:rsid w:val="2FB27C17"/>
    <w:rsid w:val="30B5176D"/>
    <w:rsid w:val="353A66E5"/>
    <w:rsid w:val="368476A2"/>
    <w:rsid w:val="37CF580A"/>
    <w:rsid w:val="3D3F6F8E"/>
    <w:rsid w:val="4C313126"/>
    <w:rsid w:val="4C4D4AF8"/>
    <w:rsid w:val="4CC0176E"/>
    <w:rsid w:val="4D16313C"/>
    <w:rsid w:val="4D237331"/>
    <w:rsid w:val="4FF0236A"/>
    <w:rsid w:val="503C110B"/>
    <w:rsid w:val="51156A77"/>
    <w:rsid w:val="521309EC"/>
    <w:rsid w:val="56EA2A0D"/>
    <w:rsid w:val="59337A21"/>
    <w:rsid w:val="59710078"/>
    <w:rsid w:val="59B461B6"/>
    <w:rsid w:val="5DDD2180"/>
    <w:rsid w:val="5E227B93"/>
    <w:rsid w:val="5F7F410B"/>
    <w:rsid w:val="628D3804"/>
    <w:rsid w:val="64833076"/>
    <w:rsid w:val="651901CD"/>
    <w:rsid w:val="679A4C3E"/>
    <w:rsid w:val="67C14D81"/>
    <w:rsid w:val="691504D4"/>
    <w:rsid w:val="6D265195"/>
    <w:rsid w:val="6DC614F7"/>
    <w:rsid w:val="6E1A581F"/>
    <w:rsid w:val="6E5518BE"/>
    <w:rsid w:val="73976551"/>
    <w:rsid w:val="74A844D0"/>
    <w:rsid w:val="772C3B28"/>
    <w:rsid w:val="776F1A1B"/>
    <w:rsid w:val="77AFE72D"/>
    <w:rsid w:val="77FD5A93"/>
    <w:rsid w:val="781B0E49"/>
    <w:rsid w:val="787C60D4"/>
    <w:rsid w:val="79110AD8"/>
    <w:rsid w:val="7BDE0D0E"/>
    <w:rsid w:val="7C7213A9"/>
    <w:rsid w:val="7DDF2B5F"/>
    <w:rsid w:val="7DFE10AA"/>
    <w:rsid w:val="7FEF12FF"/>
    <w:rsid w:val="FFF7F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2"/>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link w:val="19"/>
    <w:qFormat/>
    <w:uiPriority w:val="1"/>
    <w:rPr>
      <w:rFonts w:ascii="宋体" w:hAnsi="宋体" w:eastAsia="宋体" w:cs="宋体"/>
      <w:szCs w:val="21"/>
      <w:lang w:val="pl-PL" w:eastAsia="pl-PL" w:bidi="pl-PL"/>
    </w:rPr>
  </w:style>
  <w:style w:type="paragraph" w:styleId="6">
    <w:name w:val="Balloon Text"/>
    <w:basedOn w:val="1"/>
    <w:link w:val="18"/>
    <w:qFormat/>
    <w:uiPriority w:val="0"/>
    <w:rPr>
      <w:sz w:val="18"/>
      <w:szCs w:val="18"/>
    </w:rPr>
  </w:style>
  <w:style w:type="paragraph" w:styleId="7">
    <w:name w:val="footer"/>
    <w:basedOn w:val="1"/>
    <w:next w:val="8"/>
    <w:link w:val="17"/>
    <w:qFormat/>
    <w:uiPriority w:val="99"/>
    <w:pPr>
      <w:tabs>
        <w:tab w:val="center" w:pos="4153"/>
        <w:tab w:val="right" w:pos="8306"/>
      </w:tabs>
      <w:snapToGrid w:val="0"/>
      <w:jc w:val="left"/>
    </w:pPr>
    <w:rPr>
      <w:sz w:val="18"/>
      <w:szCs w:val="18"/>
    </w:rPr>
  </w:style>
  <w:style w:type="paragraph" w:styleId="8">
    <w:name w:val="Title"/>
    <w:next w:val="1"/>
    <w:qFormat/>
    <w:uiPriority w:val="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9">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w:basedOn w:val="5"/>
    <w:link w:val="20"/>
    <w:qFormat/>
    <w:uiPriority w:val="0"/>
    <w:pPr>
      <w:spacing w:after="120"/>
      <w:ind w:firstLine="420" w:firstLineChars="100"/>
    </w:pPr>
    <w:rPr>
      <w:rFonts w:asciiTheme="minorHAnsi" w:hAnsiTheme="minorHAnsi" w:eastAsiaTheme="minorEastAsia" w:cstheme="minorBidi"/>
      <w:szCs w:val="22"/>
      <w:lang w:val="en-US" w:eastAsia="zh-CN" w:bidi="ar-SA"/>
    </w:rPr>
  </w:style>
  <w:style w:type="character" w:styleId="13">
    <w:name w:val="annotation reference"/>
    <w:basedOn w:val="12"/>
    <w:qFormat/>
    <w:uiPriority w:val="0"/>
    <w:rPr>
      <w:sz w:val="21"/>
      <w:szCs w:val="21"/>
    </w:rPr>
  </w:style>
  <w:style w:type="paragraph" w:customStyle="1" w:styleId="14">
    <w:name w:val="标准文件_一级项"/>
    <w:qFormat/>
    <w:uiPriority w:val="0"/>
    <w:pPr>
      <w:numPr>
        <w:ilvl w:val="0"/>
        <w:numId w:val="1"/>
      </w:numPr>
    </w:pPr>
    <w:rPr>
      <w:rFonts w:ascii="宋体" w:hAnsi="Times New Roman" w:eastAsia="宋体" w:cs="Times New Roman"/>
      <w:sz w:val="21"/>
      <w:lang w:val="en-US" w:eastAsia="zh-CN" w:bidi="ar-SA"/>
    </w:rPr>
  </w:style>
  <w:style w:type="paragraph" w:styleId="15">
    <w:name w:val="List Paragraph"/>
    <w:basedOn w:val="1"/>
    <w:qFormat/>
    <w:uiPriority w:val="99"/>
    <w:pPr>
      <w:ind w:firstLine="420" w:firstLineChars="200"/>
    </w:pPr>
  </w:style>
  <w:style w:type="character" w:customStyle="1" w:styleId="16">
    <w:name w:val="页眉 字符"/>
    <w:basedOn w:val="12"/>
    <w:link w:val="9"/>
    <w:qFormat/>
    <w:uiPriority w:val="0"/>
    <w:rPr>
      <w:rFonts w:asciiTheme="minorHAnsi" w:hAnsiTheme="minorHAnsi" w:eastAsiaTheme="minorEastAsia" w:cstheme="minorBidi"/>
      <w:kern w:val="2"/>
      <w:sz w:val="18"/>
      <w:szCs w:val="18"/>
    </w:rPr>
  </w:style>
  <w:style w:type="character" w:customStyle="1" w:styleId="17">
    <w:name w:val="页脚 字符"/>
    <w:basedOn w:val="12"/>
    <w:link w:val="7"/>
    <w:qFormat/>
    <w:uiPriority w:val="99"/>
    <w:rPr>
      <w:rFonts w:asciiTheme="minorHAnsi" w:hAnsiTheme="minorHAnsi" w:eastAsiaTheme="minorEastAsia" w:cstheme="minorBidi"/>
      <w:kern w:val="2"/>
      <w:sz w:val="18"/>
      <w:szCs w:val="18"/>
    </w:rPr>
  </w:style>
  <w:style w:type="character" w:customStyle="1" w:styleId="18">
    <w:name w:val="批注框文本 字符"/>
    <w:basedOn w:val="12"/>
    <w:link w:val="6"/>
    <w:qFormat/>
    <w:uiPriority w:val="0"/>
    <w:rPr>
      <w:rFonts w:asciiTheme="minorHAnsi" w:hAnsiTheme="minorHAnsi" w:eastAsiaTheme="minorEastAsia" w:cstheme="minorBidi"/>
      <w:kern w:val="2"/>
      <w:sz w:val="18"/>
      <w:szCs w:val="18"/>
    </w:rPr>
  </w:style>
  <w:style w:type="character" w:customStyle="1" w:styleId="19">
    <w:name w:val="正文文本 字符"/>
    <w:basedOn w:val="12"/>
    <w:link w:val="5"/>
    <w:qFormat/>
    <w:uiPriority w:val="1"/>
    <w:rPr>
      <w:rFonts w:ascii="宋体" w:hAnsi="宋体" w:cs="宋体"/>
      <w:kern w:val="2"/>
      <w:sz w:val="21"/>
      <w:szCs w:val="21"/>
      <w:lang w:val="pl-PL" w:eastAsia="pl-PL" w:bidi="pl-PL"/>
    </w:rPr>
  </w:style>
  <w:style w:type="character" w:customStyle="1" w:styleId="20">
    <w:name w:val="正文文本首行缩进 字符"/>
    <w:basedOn w:val="19"/>
    <w:link w:val="10"/>
    <w:qFormat/>
    <w:uiPriority w:val="0"/>
    <w:rPr>
      <w:rFonts w:asciiTheme="minorHAnsi" w:hAnsiTheme="minorHAnsi" w:eastAsiaTheme="minorEastAsia" w:cstheme="minorBidi"/>
      <w:kern w:val="2"/>
      <w:sz w:val="21"/>
      <w:szCs w:val="22"/>
      <w:lang w:val="pl-PL" w:eastAsia="pl-PL" w:bidi="pl-PL"/>
    </w:rPr>
  </w:style>
  <w:style w:type="paragraph" w:customStyle="1" w:styleId="2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2">
    <w:name w:val="标题 2 字符"/>
    <w:basedOn w:val="12"/>
    <w:link w:val="3"/>
    <w:qFormat/>
    <w:uiPriority w:val="0"/>
    <w:rPr>
      <w:rFonts w:ascii="Arial" w:hAnsi="Arial" w:eastAsia="黑体"/>
      <w:b/>
      <w:bCs/>
      <w:kern w:val="2"/>
      <w:sz w:val="32"/>
      <w:szCs w:val="32"/>
    </w:rPr>
  </w:style>
  <w:style w:type="table" w:customStyle="1" w:styleId="23">
    <w:name w:val="Table Normal"/>
    <w:basedOn w:val="11"/>
    <w:semiHidden/>
    <w:qFormat/>
    <w:uiPriority w:val="0"/>
    <w:rPr>
      <w:rFonts w:ascii="Arial" w:hAnsi="Arial" w:cs="Arial"/>
    </w:rPr>
    <w:tblPr>
      <w:tblCellMar>
        <w:left w:w="0" w:type="dxa"/>
        <w:right w:w="0" w:type="dxa"/>
      </w:tblCellMar>
    </w:tblPr>
  </w:style>
  <w:style w:type="paragraph" w:customStyle="1" w:styleId="2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719</Words>
  <Characters>4103</Characters>
  <Lines>34</Lines>
  <Paragraphs>9</Paragraphs>
  <TotalTime>5</TotalTime>
  <ScaleCrop>false</ScaleCrop>
  <LinksUpToDate>false</LinksUpToDate>
  <CharactersWithSpaces>4813</CharactersWithSpaces>
  <Application>WPS Office_5.0.0.7550_F1E327BC-269C-435d-A152-05C5408002CA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2024-09-30T21:37:00Z</dcterms:created>
  <dc:creator>《陶园茗茶业》仪征捺山桃源春茶场</dc:creator>
  <cp:lastModifiedBy>王镇</cp:lastModifiedBy>
  <dcterms:modified xsi:type="dcterms:W3CDTF">2024-09-30T13:55:43Z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2052-5.0.0.7550</vt:lpwstr>
  </property>
  <property fmtid="{D5CDD505-2E9C-101B-9397-08002B2CF9AE}" pid="3" name="ICV">
    <vt:lpwstr>99E7CF9479BA467D93438E3E6DB2A0CF</vt:lpwstr>
  </property>
  <property fmtid="{D5CDD505-2E9C-101B-9397-08002B2CF9AE}" pid="4" name="_DocHome">
    <vt:i4>1857944223</vt:i4>
  </property>
</Properties>
</file>